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1CA1E" w14:textId="568E837A" w:rsidR="006F0D0F" w:rsidRDefault="006F0D0F" w:rsidP="005E4EC3">
      <w:pPr>
        <w:tabs>
          <w:tab w:val="left" w:pos="2160"/>
        </w:tabs>
        <w:spacing w:before="480" w:line="240" w:lineRule="exact"/>
        <w:ind w:left="1440" w:hanging="1440"/>
        <w:jc w:val="both"/>
        <w:rPr>
          <w:rFonts w:ascii="Times" w:hAnsi="Times"/>
          <w:sz w:val="24"/>
        </w:rPr>
      </w:pPr>
      <w:r w:rsidRPr="005A4536">
        <w:rPr>
          <w:rFonts w:ascii="Times" w:hAnsi="Times"/>
          <w:b/>
          <w:sz w:val="24"/>
        </w:rPr>
        <w:t>TO</w:t>
      </w:r>
      <w:r w:rsidR="001E7D78" w:rsidRPr="005A4536">
        <w:rPr>
          <w:rFonts w:ascii="Times" w:hAnsi="Times"/>
          <w:b/>
          <w:sz w:val="24"/>
        </w:rPr>
        <w:t>:</w:t>
      </w:r>
      <w:r w:rsidR="005E4EC3">
        <w:rPr>
          <w:rFonts w:ascii="Times" w:hAnsi="Times"/>
          <w:sz w:val="24"/>
        </w:rPr>
        <w:tab/>
      </w:r>
      <w:r w:rsidR="00A623B2">
        <w:rPr>
          <w:rFonts w:ascii="Times" w:hAnsi="Times"/>
          <w:sz w:val="24"/>
        </w:rPr>
        <w:t>Ian Groetsch,</w:t>
      </w:r>
      <w:r w:rsidR="006A783D">
        <w:rPr>
          <w:rFonts w:ascii="Times" w:hAnsi="Times"/>
          <w:sz w:val="24"/>
        </w:rPr>
        <w:t xml:space="preserve"> Attorney,</w:t>
      </w:r>
      <w:r w:rsidR="001E7D78">
        <w:rPr>
          <w:rFonts w:ascii="Times" w:hAnsi="Times"/>
          <w:sz w:val="24"/>
        </w:rPr>
        <w:t xml:space="preserve"> Legal</w:t>
      </w:r>
      <w:r w:rsidR="002C1312">
        <w:rPr>
          <w:rFonts w:ascii="Times" w:hAnsi="Times"/>
          <w:sz w:val="24"/>
        </w:rPr>
        <w:t xml:space="preserve"> Division</w:t>
      </w:r>
    </w:p>
    <w:p w14:paraId="1883CB60" w14:textId="446B490A" w:rsidR="006F0D0F" w:rsidRDefault="008C5CFD" w:rsidP="005E4EC3">
      <w:pPr>
        <w:tabs>
          <w:tab w:val="left" w:pos="2160"/>
        </w:tabs>
        <w:spacing w:before="240" w:line="240" w:lineRule="exact"/>
        <w:ind w:left="1440" w:hanging="1440"/>
        <w:jc w:val="both"/>
        <w:rPr>
          <w:rFonts w:ascii="Times" w:hAnsi="Times"/>
          <w:sz w:val="24"/>
        </w:rPr>
      </w:pPr>
      <w:r w:rsidRPr="005A4536">
        <w:rPr>
          <w:rFonts w:ascii="Times" w:hAnsi="Times"/>
          <w:b/>
          <w:sz w:val="24"/>
        </w:rPr>
        <w:t>FROM:</w:t>
      </w:r>
      <w:r>
        <w:rPr>
          <w:rFonts w:ascii="Times" w:hAnsi="Times"/>
          <w:sz w:val="24"/>
        </w:rPr>
        <w:tab/>
      </w:r>
      <w:r w:rsidR="00A623B2">
        <w:rPr>
          <w:rFonts w:ascii="Times" w:hAnsi="Times"/>
          <w:sz w:val="24"/>
        </w:rPr>
        <w:t>Anna Givens, Director of Financial Review</w:t>
      </w:r>
      <w:r w:rsidR="006A783D">
        <w:rPr>
          <w:rFonts w:ascii="Times" w:hAnsi="Times"/>
          <w:sz w:val="24"/>
        </w:rPr>
        <w:t xml:space="preserve">, </w:t>
      </w:r>
      <w:r w:rsidR="00DB345E">
        <w:rPr>
          <w:rFonts w:ascii="Times" w:hAnsi="Times"/>
          <w:sz w:val="24"/>
        </w:rPr>
        <w:t>Rate Regu</w:t>
      </w:r>
      <w:r w:rsidR="006A783D">
        <w:rPr>
          <w:rFonts w:ascii="Times" w:hAnsi="Times"/>
          <w:sz w:val="24"/>
        </w:rPr>
        <w:t>lation</w:t>
      </w:r>
      <w:r w:rsidR="00A623B2">
        <w:rPr>
          <w:rFonts w:ascii="Times" w:hAnsi="Times"/>
          <w:sz w:val="24"/>
        </w:rPr>
        <w:t xml:space="preserve"> Division</w:t>
      </w:r>
    </w:p>
    <w:p w14:paraId="131DD9B3" w14:textId="3E116A22" w:rsidR="006F0D0F" w:rsidRDefault="006F0D0F" w:rsidP="005E4EC3">
      <w:pPr>
        <w:tabs>
          <w:tab w:val="left" w:pos="2160"/>
        </w:tabs>
        <w:spacing w:before="240" w:line="240" w:lineRule="exact"/>
        <w:ind w:left="1440" w:hanging="1440"/>
        <w:jc w:val="both"/>
        <w:rPr>
          <w:rFonts w:ascii="Times" w:hAnsi="Times"/>
          <w:sz w:val="24"/>
        </w:rPr>
      </w:pPr>
      <w:r w:rsidRPr="005A4536">
        <w:rPr>
          <w:rFonts w:ascii="Times" w:hAnsi="Times"/>
          <w:b/>
          <w:sz w:val="24"/>
        </w:rPr>
        <w:t>DATE:</w:t>
      </w:r>
      <w:r>
        <w:rPr>
          <w:rFonts w:ascii="Times" w:hAnsi="Times"/>
          <w:sz w:val="24"/>
        </w:rPr>
        <w:tab/>
      </w:r>
      <w:r w:rsidR="003349A4">
        <w:rPr>
          <w:rFonts w:ascii="Times" w:hAnsi="Times"/>
          <w:sz w:val="24"/>
        </w:rPr>
        <w:t xml:space="preserve">March </w:t>
      </w:r>
      <w:r w:rsidR="00BA2BFE">
        <w:rPr>
          <w:rFonts w:ascii="Times" w:hAnsi="Times"/>
          <w:sz w:val="24"/>
        </w:rPr>
        <w:t>8</w:t>
      </w:r>
      <w:r w:rsidR="00A623B2">
        <w:rPr>
          <w:rFonts w:ascii="Times" w:hAnsi="Times"/>
          <w:sz w:val="24"/>
        </w:rPr>
        <w:t>, 2023</w:t>
      </w:r>
    </w:p>
    <w:p w14:paraId="2AED874C" w14:textId="1D388CA1" w:rsidR="005A4536" w:rsidRDefault="006F0D0F" w:rsidP="005E4EC3">
      <w:pPr>
        <w:tabs>
          <w:tab w:val="left" w:pos="2160"/>
        </w:tabs>
        <w:spacing w:before="240" w:line="240" w:lineRule="exact"/>
        <w:ind w:left="1440" w:hanging="1440"/>
        <w:jc w:val="both"/>
        <w:rPr>
          <w:rFonts w:ascii="Times" w:hAnsi="Times"/>
          <w:i/>
          <w:sz w:val="24"/>
        </w:rPr>
      </w:pPr>
      <w:r w:rsidRPr="005A4536">
        <w:rPr>
          <w:rFonts w:ascii="Times" w:hAnsi="Times"/>
          <w:b/>
          <w:sz w:val="24"/>
        </w:rPr>
        <w:t>SUBJECT:</w:t>
      </w:r>
      <w:r>
        <w:rPr>
          <w:rFonts w:ascii="Times" w:hAnsi="Times"/>
          <w:sz w:val="24"/>
        </w:rPr>
        <w:tab/>
        <w:t xml:space="preserve">Docket No. </w:t>
      </w:r>
      <w:r w:rsidR="00A36334">
        <w:rPr>
          <w:rFonts w:ascii="Times" w:hAnsi="Times"/>
          <w:sz w:val="24"/>
        </w:rPr>
        <w:t>5</w:t>
      </w:r>
      <w:r w:rsidR="00A623B2">
        <w:rPr>
          <w:rFonts w:ascii="Times" w:hAnsi="Times"/>
          <w:sz w:val="24"/>
        </w:rPr>
        <w:t>0721</w:t>
      </w:r>
      <w:r>
        <w:rPr>
          <w:rFonts w:ascii="Times" w:hAnsi="Times"/>
          <w:sz w:val="24"/>
        </w:rPr>
        <w:t xml:space="preserve"> </w:t>
      </w:r>
      <w:r w:rsidR="004B1FB0">
        <w:rPr>
          <w:sz w:val="24"/>
        </w:rPr>
        <w:t xml:space="preserve">– </w:t>
      </w:r>
      <w:r w:rsidR="009E4B95">
        <w:rPr>
          <w:rFonts w:ascii="Times" w:hAnsi="Times"/>
          <w:i/>
          <w:sz w:val="24"/>
        </w:rPr>
        <w:t xml:space="preserve">Application of </w:t>
      </w:r>
      <w:r w:rsidR="00A623B2">
        <w:rPr>
          <w:rFonts w:ascii="Times" w:hAnsi="Times"/>
          <w:i/>
          <w:sz w:val="24"/>
        </w:rPr>
        <w:t>Crystal Clear Water</w:t>
      </w:r>
      <w:r w:rsidR="006A783D">
        <w:rPr>
          <w:rFonts w:ascii="Times" w:hAnsi="Times"/>
          <w:i/>
          <w:sz w:val="24"/>
        </w:rPr>
        <w:t>, Inc.</w:t>
      </w:r>
      <w:r w:rsidR="008B4E2C" w:rsidRPr="000F68C1">
        <w:rPr>
          <w:rFonts w:ascii="Times" w:hAnsi="Times"/>
          <w:i/>
          <w:sz w:val="24"/>
        </w:rPr>
        <w:t xml:space="preserve"> </w:t>
      </w:r>
      <w:r w:rsidR="00A623B2">
        <w:rPr>
          <w:rFonts w:ascii="Times" w:hAnsi="Times"/>
          <w:i/>
          <w:sz w:val="24"/>
        </w:rPr>
        <w:t xml:space="preserve">for Authority </w:t>
      </w:r>
      <w:r w:rsidR="006A783D">
        <w:rPr>
          <w:rFonts w:ascii="Times" w:hAnsi="Times"/>
          <w:i/>
          <w:sz w:val="24"/>
        </w:rPr>
        <w:t>to Change</w:t>
      </w:r>
      <w:r w:rsidR="009E4B95">
        <w:rPr>
          <w:rFonts w:ascii="Times" w:hAnsi="Times"/>
          <w:i/>
          <w:sz w:val="24"/>
        </w:rPr>
        <w:t xml:space="preserve"> Rates</w:t>
      </w:r>
    </w:p>
    <w:p w14:paraId="314ABF5A" w14:textId="77777777" w:rsidR="005A4536" w:rsidRPr="005A4536" w:rsidRDefault="005A4536" w:rsidP="005A4536">
      <w:pPr>
        <w:pBdr>
          <w:bottom w:val="single" w:sz="12" w:space="1" w:color="auto"/>
        </w:pBdr>
        <w:tabs>
          <w:tab w:val="left" w:pos="2160"/>
        </w:tabs>
        <w:ind w:left="2160" w:hanging="2160"/>
        <w:jc w:val="both"/>
        <w:rPr>
          <w:rFonts w:ascii="Times" w:hAnsi="Times"/>
          <w:i/>
          <w:sz w:val="24"/>
        </w:rPr>
      </w:pPr>
    </w:p>
    <w:p w14:paraId="40E91C80" w14:textId="77777777" w:rsidR="005A4536" w:rsidRPr="00524311" w:rsidRDefault="005A4536" w:rsidP="00C658A3">
      <w:pPr>
        <w:tabs>
          <w:tab w:val="left" w:pos="2160"/>
        </w:tabs>
        <w:spacing w:before="240" w:line="240" w:lineRule="exact"/>
        <w:jc w:val="both"/>
        <w:rPr>
          <w:rFonts w:ascii="Times" w:hAnsi="Times"/>
        </w:rPr>
      </w:pPr>
    </w:p>
    <w:p w14:paraId="54E8E231" w14:textId="65FBF343" w:rsidR="006F0D0F" w:rsidRDefault="00167470" w:rsidP="00DA0FCD">
      <w:pPr>
        <w:pStyle w:val="Heading1"/>
        <w:spacing w:before="0"/>
      </w:pPr>
      <w:r>
        <w:t>ANALYSIS</w:t>
      </w:r>
      <w:r w:rsidR="006F0D0F">
        <w:t xml:space="preserve"> AND RECOMMENDATION</w:t>
      </w:r>
    </w:p>
    <w:p w14:paraId="2B4623CA" w14:textId="77777777" w:rsidR="002A5886" w:rsidRDefault="002A5886" w:rsidP="006A1C94">
      <w:pPr>
        <w:jc w:val="both"/>
        <w:rPr>
          <w:sz w:val="24"/>
          <w:szCs w:val="24"/>
        </w:rPr>
      </w:pPr>
    </w:p>
    <w:p w14:paraId="286E6E98" w14:textId="78E96DA9" w:rsidR="00DF68C7" w:rsidRPr="00DF68C7" w:rsidRDefault="00DF68C7" w:rsidP="006A1C94">
      <w:pPr>
        <w:jc w:val="both"/>
        <w:rPr>
          <w:b/>
          <w:bCs/>
          <w:sz w:val="24"/>
          <w:szCs w:val="24"/>
        </w:rPr>
      </w:pPr>
      <w:r>
        <w:rPr>
          <w:b/>
          <w:bCs/>
          <w:sz w:val="24"/>
          <w:szCs w:val="24"/>
        </w:rPr>
        <w:t>Background</w:t>
      </w:r>
      <w:r w:rsidR="00BF477D">
        <w:rPr>
          <w:b/>
          <w:bCs/>
          <w:sz w:val="24"/>
          <w:szCs w:val="24"/>
        </w:rPr>
        <w:t xml:space="preserve"> and Summary</w:t>
      </w:r>
    </w:p>
    <w:p w14:paraId="189D2E74" w14:textId="77777777" w:rsidR="00DF68C7" w:rsidRDefault="00DF68C7" w:rsidP="006A1C94">
      <w:pPr>
        <w:jc w:val="both"/>
        <w:rPr>
          <w:sz w:val="24"/>
          <w:szCs w:val="24"/>
        </w:rPr>
      </w:pPr>
    </w:p>
    <w:p w14:paraId="6325CA24" w14:textId="7D3C48D4" w:rsidR="00167470" w:rsidRPr="00696910" w:rsidRDefault="006A1C94" w:rsidP="006A1C94">
      <w:pPr>
        <w:jc w:val="both"/>
        <w:rPr>
          <w:i/>
          <w:iCs/>
          <w:sz w:val="24"/>
          <w:szCs w:val="24"/>
        </w:rPr>
      </w:pPr>
      <w:r>
        <w:rPr>
          <w:sz w:val="24"/>
          <w:szCs w:val="24"/>
        </w:rPr>
        <w:t>On</w:t>
      </w:r>
      <w:r w:rsidR="00102394">
        <w:rPr>
          <w:sz w:val="24"/>
          <w:szCs w:val="24"/>
        </w:rPr>
        <w:t xml:space="preserve"> </w:t>
      </w:r>
      <w:r w:rsidR="004A5179">
        <w:rPr>
          <w:sz w:val="24"/>
          <w:szCs w:val="24"/>
        </w:rPr>
        <w:t>April 8, 2020</w:t>
      </w:r>
      <w:r w:rsidR="008C5CFD">
        <w:rPr>
          <w:sz w:val="24"/>
          <w:szCs w:val="24"/>
        </w:rPr>
        <w:t xml:space="preserve">, </w:t>
      </w:r>
      <w:r w:rsidR="004A5179">
        <w:rPr>
          <w:sz w:val="24"/>
          <w:szCs w:val="24"/>
        </w:rPr>
        <w:t>Crystal Clear Water, Inc.</w:t>
      </w:r>
      <w:r w:rsidR="001F77F7">
        <w:rPr>
          <w:sz w:val="24"/>
          <w:szCs w:val="24"/>
        </w:rPr>
        <w:t xml:space="preserve"> (</w:t>
      </w:r>
      <w:r w:rsidR="004A5179">
        <w:rPr>
          <w:sz w:val="24"/>
          <w:szCs w:val="24"/>
        </w:rPr>
        <w:t>Crystal Clear</w:t>
      </w:r>
      <w:r>
        <w:rPr>
          <w:sz w:val="24"/>
          <w:szCs w:val="24"/>
        </w:rPr>
        <w:t>)</w:t>
      </w:r>
      <w:r w:rsidR="004A5179">
        <w:rPr>
          <w:sz w:val="24"/>
          <w:szCs w:val="24"/>
        </w:rPr>
        <w:t>, a Class D water utility,</w:t>
      </w:r>
      <w:r>
        <w:rPr>
          <w:sz w:val="24"/>
          <w:szCs w:val="24"/>
        </w:rPr>
        <w:t xml:space="preserve"> file</w:t>
      </w:r>
      <w:r w:rsidR="00DC5FCC">
        <w:rPr>
          <w:sz w:val="24"/>
          <w:szCs w:val="24"/>
        </w:rPr>
        <w:t>d</w:t>
      </w:r>
      <w:r>
        <w:rPr>
          <w:sz w:val="24"/>
          <w:szCs w:val="24"/>
        </w:rPr>
        <w:t xml:space="preserve"> </w:t>
      </w:r>
      <w:r w:rsidR="001545FF">
        <w:rPr>
          <w:sz w:val="24"/>
          <w:szCs w:val="24"/>
        </w:rPr>
        <w:t xml:space="preserve">a </w:t>
      </w:r>
      <w:r w:rsidR="004A5179">
        <w:rPr>
          <w:sz w:val="24"/>
          <w:szCs w:val="24"/>
        </w:rPr>
        <w:t xml:space="preserve">Class C </w:t>
      </w:r>
      <w:r w:rsidR="001545FF">
        <w:rPr>
          <w:sz w:val="24"/>
          <w:szCs w:val="24"/>
        </w:rPr>
        <w:t xml:space="preserve">application to </w:t>
      </w:r>
      <w:r w:rsidR="004A5179">
        <w:rPr>
          <w:sz w:val="24"/>
          <w:szCs w:val="24"/>
        </w:rPr>
        <w:t>change rates under Texas Water Code (TWC)</w:t>
      </w:r>
      <w:r w:rsidR="00DC6C4A">
        <w:rPr>
          <w:sz w:val="24"/>
          <w:szCs w:val="24"/>
        </w:rPr>
        <w:t xml:space="preserve"> §</w:t>
      </w:r>
      <w:r w:rsidR="004A5179">
        <w:rPr>
          <w:sz w:val="24"/>
          <w:szCs w:val="24"/>
        </w:rPr>
        <w:t xml:space="preserve"> 13.1871 and </w:t>
      </w:r>
      <w:r w:rsidR="001545FF">
        <w:rPr>
          <w:sz w:val="24"/>
          <w:szCs w:val="24"/>
        </w:rPr>
        <w:t>16 Tex</w:t>
      </w:r>
      <w:r w:rsidR="00164057">
        <w:rPr>
          <w:sz w:val="24"/>
          <w:szCs w:val="24"/>
        </w:rPr>
        <w:t>as</w:t>
      </w:r>
      <w:r w:rsidR="001545FF">
        <w:rPr>
          <w:sz w:val="24"/>
          <w:szCs w:val="24"/>
        </w:rPr>
        <w:t xml:space="preserve"> Admin</w:t>
      </w:r>
      <w:r w:rsidR="00164057">
        <w:rPr>
          <w:sz w:val="24"/>
          <w:szCs w:val="24"/>
        </w:rPr>
        <w:t>istrative</w:t>
      </w:r>
      <w:r w:rsidR="001545FF">
        <w:rPr>
          <w:sz w:val="24"/>
          <w:szCs w:val="24"/>
        </w:rPr>
        <w:t xml:space="preserve"> Code (TAC) §</w:t>
      </w:r>
      <w:r w:rsidR="000A3712">
        <w:rPr>
          <w:sz w:val="24"/>
          <w:szCs w:val="24"/>
        </w:rPr>
        <w:t>§</w:t>
      </w:r>
      <w:r w:rsidR="006578E5">
        <w:rPr>
          <w:sz w:val="24"/>
          <w:szCs w:val="24"/>
        </w:rPr>
        <w:t> </w:t>
      </w:r>
      <w:r w:rsidR="001545FF">
        <w:rPr>
          <w:sz w:val="24"/>
          <w:szCs w:val="24"/>
        </w:rPr>
        <w:t>2</w:t>
      </w:r>
      <w:r w:rsidR="004A5179">
        <w:rPr>
          <w:sz w:val="24"/>
          <w:szCs w:val="24"/>
        </w:rPr>
        <w:t>4.25</w:t>
      </w:r>
      <w:r w:rsidR="000A3712">
        <w:rPr>
          <w:sz w:val="24"/>
          <w:szCs w:val="24"/>
        </w:rPr>
        <w:t xml:space="preserve"> through 24.33</w:t>
      </w:r>
      <w:r w:rsidR="001545FF">
        <w:rPr>
          <w:sz w:val="24"/>
          <w:szCs w:val="24"/>
        </w:rPr>
        <w:t xml:space="preserve">.  </w:t>
      </w:r>
      <w:r w:rsidR="00CF0805">
        <w:rPr>
          <w:sz w:val="24"/>
          <w:szCs w:val="24"/>
        </w:rPr>
        <w:t xml:space="preserve">On </w:t>
      </w:r>
      <w:r w:rsidR="00875007">
        <w:rPr>
          <w:sz w:val="24"/>
          <w:szCs w:val="24"/>
        </w:rPr>
        <w:t>September 3, 2021</w:t>
      </w:r>
      <w:r w:rsidR="00CF0805">
        <w:rPr>
          <w:sz w:val="24"/>
          <w:szCs w:val="24"/>
        </w:rPr>
        <w:t xml:space="preserve">, </w:t>
      </w:r>
      <w:r w:rsidR="00875007">
        <w:rPr>
          <w:sz w:val="24"/>
          <w:szCs w:val="24"/>
        </w:rPr>
        <w:t>Crystal Clear</w:t>
      </w:r>
      <w:r w:rsidR="00CF0805">
        <w:rPr>
          <w:sz w:val="24"/>
          <w:szCs w:val="24"/>
        </w:rPr>
        <w:t xml:space="preserve"> filed </w:t>
      </w:r>
      <w:r w:rsidR="00E53E06">
        <w:rPr>
          <w:sz w:val="24"/>
          <w:szCs w:val="24"/>
        </w:rPr>
        <w:t xml:space="preserve">the </w:t>
      </w:r>
      <w:r w:rsidR="00CF0805">
        <w:rPr>
          <w:sz w:val="24"/>
          <w:szCs w:val="24"/>
        </w:rPr>
        <w:t>unanimous stipulation and settlement agreement</w:t>
      </w:r>
      <w:r w:rsidR="007B5CBC">
        <w:rPr>
          <w:sz w:val="24"/>
          <w:szCs w:val="24"/>
        </w:rPr>
        <w:t xml:space="preserve"> between it, Commission Staff, and Intervenors</w:t>
      </w:r>
      <w:r w:rsidR="00CF0805">
        <w:rPr>
          <w:sz w:val="24"/>
          <w:szCs w:val="24"/>
        </w:rPr>
        <w:t xml:space="preserve">.  On </w:t>
      </w:r>
      <w:r w:rsidR="00851D82">
        <w:rPr>
          <w:sz w:val="24"/>
          <w:szCs w:val="24"/>
        </w:rPr>
        <w:t>the same day, Co</w:t>
      </w:r>
      <w:r w:rsidR="00CF0805">
        <w:rPr>
          <w:sz w:val="24"/>
          <w:szCs w:val="24"/>
        </w:rPr>
        <w:t xml:space="preserve">mmission Staff filed </w:t>
      </w:r>
      <w:r w:rsidR="00851D82">
        <w:rPr>
          <w:sz w:val="24"/>
          <w:szCs w:val="24"/>
        </w:rPr>
        <w:t>my affidavit in support of the unanimous stipulation and settlement agreement</w:t>
      </w:r>
      <w:r w:rsidR="00CF0805">
        <w:rPr>
          <w:sz w:val="24"/>
          <w:szCs w:val="24"/>
        </w:rPr>
        <w:t>,</w:t>
      </w:r>
      <w:r w:rsidR="00851D82">
        <w:rPr>
          <w:sz w:val="24"/>
          <w:szCs w:val="24"/>
        </w:rPr>
        <w:t xml:space="preserve"> recommending </w:t>
      </w:r>
      <w:r w:rsidR="00CF0805">
        <w:rPr>
          <w:sz w:val="24"/>
          <w:szCs w:val="24"/>
        </w:rPr>
        <w:t>approv</w:t>
      </w:r>
      <w:r w:rsidR="00F2078E">
        <w:rPr>
          <w:sz w:val="24"/>
          <w:szCs w:val="24"/>
        </w:rPr>
        <w:t>al</w:t>
      </w:r>
      <w:r w:rsidR="00CF0805">
        <w:rPr>
          <w:sz w:val="24"/>
          <w:szCs w:val="24"/>
        </w:rPr>
        <w:t xml:space="preserve">.  </w:t>
      </w:r>
      <w:r w:rsidR="00BA1EE4">
        <w:rPr>
          <w:sz w:val="24"/>
          <w:szCs w:val="24"/>
        </w:rPr>
        <w:t xml:space="preserve">On February 28, 2022, the Office of Public Utility Counsel OPUC filed its Unopposed Motion to Intervene.  </w:t>
      </w:r>
      <w:r w:rsidR="0014269D">
        <w:rPr>
          <w:sz w:val="24"/>
          <w:szCs w:val="24"/>
        </w:rPr>
        <w:t>On March 7, 2022, Crystal Clear, Commission Staff,</w:t>
      </w:r>
      <w:r w:rsidR="007B5CBC">
        <w:rPr>
          <w:sz w:val="24"/>
          <w:szCs w:val="24"/>
        </w:rPr>
        <w:t xml:space="preserve"> Intervenors,</w:t>
      </w:r>
      <w:r w:rsidR="0014269D">
        <w:rPr>
          <w:sz w:val="24"/>
          <w:szCs w:val="24"/>
        </w:rPr>
        <w:t xml:space="preserve"> and OPUC filed </w:t>
      </w:r>
      <w:r w:rsidR="00F54445">
        <w:rPr>
          <w:sz w:val="24"/>
          <w:szCs w:val="24"/>
        </w:rPr>
        <w:t>a</w:t>
      </w:r>
      <w:r w:rsidR="0014269D">
        <w:rPr>
          <w:sz w:val="24"/>
          <w:szCs w:val="24"/>
        </w:rPr>
        <w:t xml:space="preserve"> revised unanimous stipulation and settlement agreement.  </w:t>
      </w:r>
      <w:r w:rsidR="00332109">
        <w:rPr>
          <w:sz w:val="24"/>
          <w:szCs w:val="24"/>
        </w:rPr>
        <w:t>On May 3, 2022</w:t>
      </w:r>
      <w:r w:rsidR="00E63562">
        <w:rPr>
          <w:sz w:val="24"/>
          <w:szCs w:val="24"/>
        </w:rPr>
        <w:t>, the Commission remanded th</w:t>
      </w:r>
      <w:r w:rsidR="008E5108">
        <w:rPr>
          <w:sz w:val="24"/>
          <w:szCs w:val="24"/>
        </w:rPr>
        <w:t>is</w:t>
      </w:r>
      <w:r w:rsidR="00E63562">
        <w:rPr>
          <w:sz w:val="24"/>
          <w:szCs w:val="24"/>
        </w:rPr>
        <w:t xml:space="preserve"> docket to reopen the evidentiary record regarding </w:t>
      </w:r>
      <w:r w:rsidR="00332109">
        <w:rPr>
          <w:sz w:val="24"/>
          <w:szCs w:val="24"/>
        </w:rPr>
        <w:t>Crystal Clear’s affiliate transactions and rate-case expenses</w:t>
      </w:r>
      <w:r w:rsidR="00E63562">
        <w:rPr>
          <w:sz w:val="24"/>
          <w:szCs w:val="24"/>
        </w:rPr>
        <w:t xml:space="preserve">.  </w:t>
      </w:r>
      <w:r w:rsidR="00167470">
        <w:rPr>
          <w:sz w:val="24"/>
          <w:szCs w:val="24"/>
        </w:rPr>
        <w:t xml:space="preserve">This memorandum presents </w:t>
      </w:r>
      <w:r w:rsidR="00332109">
        <w:rPr>
          <w:sz w:val="24"/>
          <w:szCs w:val="24"/>
        </w:rPr>
        <w:t>my</w:t>
      </w:r>
      <w:r w:rsidR="00167470">
        <w:rPr>
          <w:sz w:val="24"/>
          <w:szCs w:val="24"/>
        </w:rPr>
        <w:t xml:space="preserve"> recommendation regarding </w:t>
      </w:r>
      <w:r w:rsidR="00332109">
        <w:rPr>
          <w:sz w:val="24"/>
          <w:szCs w:val="24"/>
        </w:rPr>
        <w:t xml:space="preserve">Crystal Clear’s affiliate transactions and rate-case expenses as </w:t>
      </w:r>
      <w:r w:rsidR="000720CC">
        <w:rPr>
          <w:sz w:val="24"/>
          <w:szCs w:val="24"/>
        </w:rPr>
        <w:t>they</w:t>
      </w:r>
      <w:r w:rsidR="00696910">
        <w:rPr>
          <w:sz w:val="24"/>
          <w:szCs w:val="24"/>
        </w:rPr>
        <w:t xml:space="preserve"> pertain to the following issues from the Commission’s </w:t>
      </w:r>
      <w:r w:rsidR="00696910" w:rsidRPr="00696910">
        <w:rPr>
          <w:i/>
          <w:iCs/>
          <w:sz w:val="24"/>
          <w:szCs w:val="24"/>
        </w:rPr>
        <w:t>Order Remanding to Docket Management.</w:t>
      </w:r>
    </w:p>
    <w:p w14:paraId="1BEEBC3E" w14:textId="6088572F" w:rsidR="00167470" w:rsidRDefault="00167470" w:rsidP="006A1C94">
      <w:pPr>
        <w:jc w:val="both"/>
        <w:rPr>
          <w:i/>
          <w:iCs/>
          <w:sz w:val="24"/>
          <w:szCs w:val="24"/>
        </w:rPr>
      </w:pPr>
    </w:p>
    <w:p w14:paraId="517B43D0" w14:textId="77777777" w:rsidR="000276C5" w:rsidRDefault="00390D46" w:rsidP="000276C5">
      <w:pPr>
        <w:spacing w:before="120"/>
        <w:ind w:left="720" w:right="720"/>
        <w:jc w:val="both"/>
        <w:rPr>
          <w:sz w:val="24"/>
          <w:szCs w:val="24"/>
        </w:rPr>
      </w:pPr>
      <w:r w:rsidRPr="000276C5">
        <w:rPr>
          <w:sz w:val="24"/>
          <w:szCs w:val="24"/>
        </w:rPr>
        <w:t xml:space="preserve">4. What costs for which Crystal Clear is seeking recovery through rates in this proceeding are allocated between Crystal Clear and Robert Payne's other businesses or his personal use? For example, electricity, water, sewer sanitation, gas, phone, internet, cell phone? </w:t>
      </w:r>
    </w:p>
    <w:p w14:paraId="698583E2" w14:textId="00E56BEA" w:rsidR="00390D46" w:rsidRPr="000276C5" w:rsidRDefault="00390D46" w:rsidP="000276C5">
      <w:pPr>
        <w:spacing w:before="120"/>
        <w:ind w:left="720" w:right="720"/>
        <w:jc w:val="both"/>
        <w:rPr>
          <w:sz w:val="24"/>
          <w:szCs w:val="24"/>
        </w:rPr>
      </w:pPr>
      <w:r w:rsidRPr="000276C5">
        <w:rPr>
          <w:sz w:val="24"/>
          <w:szCs w:val="24"/>
        </w:rPr>
        <w:t>5. With respect to any payments subject to the requirements of</w:t>
      </w:r>
      <w:r w:rsidR="000276C5">
        <w:rPr>
          <w:sz w:val="24"/>
          <w:szCs w:val="24"/>
        </w:rPr>
        <w:t xml:space="preserve"> </w:t>
      </w:r>
      <w:r w:rsidRPr="000276C5">
        <w:rPr>
          <w:sz w:val="24"/>
          <w:szCs w:val="24"/>
        </w:rPr>
        <w:t>TWC § 13.185(e) and included in the agreed rates, what evidence supports the findings and conclusions necessary for the Commission to comply with TWC § 13.185(e)?</w:t>
      </w:r>
    </w:p>
    <w:p w14:paraId="7DEAC41C" w14:textId="77777777" w:rsidR="000276C5" w:rsidRDefault="00390D46" w:rsidP="000276C5">
      <w:pPr>
        <w:spacing w:before="120"/>
        <w:ind w:left="720" w:right="720"/>
        <w:jc w:val="both"/>
        <w:rPr>
          <w:sz w:val="24"/>
          <w:szCs w:val="24"/>
        </w:rPr>
      </w:pPr>
      <w:r w:rsidRPr="000276C5">
        <w:rPr>
          <w:sz w:val="24"/>
          <w:szCs w:val="24"/>
        </w:rPr>
        <w:t xml:space="preserve">6. What prospective safeguards, reporting, or accounting practices should the Commission require to ensure that affiliate costs are accounted for correctly in the future? </w:t>
      </w:r>
    </w:p>
    <w:p w14:paraId="5412EC41" w14:textId="7C69B251" w:rsidR="00390D46" w:rsidRPr="000276C5" w:rsidRDefault="00390D46" w:rsidP="000276C5">
      <w:pPr>
        <w:spacing w:before="120"/>
        <w:ind w:left="720" w:right="720"/>
        <w:jc w:val="both"/>
        <w:rPr>
          <w:sz w:val="24"/>
          <w:szCs w:val="24"/>
        </w:rPr>
      </w:pPr>
      <w:r w:rsidRPr="000276C5">
        <w:rPr>
          <w:sz w:val="24"/>
          <w:szCs w:val="24"/>
        </w:rPr>
        <w:t>a. Should the Commission require written agreements between Crystal Clear and its affiliates?</w:t>
      </w:r>
    </w:p>
    <w:p w14:paraId="7CD6257D" w14:textId="3E691C5A" w:rsidR="00390D46" w:rsidRPr="000276C5" w:rsidRDefault="00390D46" w:rsidP="000276C5">
      <w:pPr>
        <w:spacing w:before="120"/>
        <w:ind w:left="720" w:right="720"/>
        <w:jc w:val="both"/>
        <w:rPr>
          <w:sz w:val="24"/>
          <w:szCs w:val="24"/>
        </w:rPr>
      </w:pPr>
    </w:p>
    <w:p w14:paraId="69EB0154" w14:textId="77777777" w:rsidR="000276C5" w:rsidRDefault="00390D46" w:rsidP="000276C5">
      <w:pPr>
        <w:spacing w:before="120"/>
        <w:ind w:left="720" w:right="720"/>
        <w:jc w:val="both"/>
        <w:rPr>
          <w:sz w:val="24"/>
          <w:szCs w:val="24"/>
        </w:rPr>
      </w:pPr>
      <w:r w:rsidRPr="000276C5">
        <w:rPr>
          <w:sz w:val="24"/>
          <w:szCs w:val="24"/>
        </w:rPr>
        <w:lastRenderedPageBreak/>
        <w:t xml:space="preserve">8. If an agreement between the parties or a proposal for decision provides for rate-case expenses through a date certain, will any remaining amount incurred after that date be disallowed or deferred to a future proceeding? </w:t>
      </w:r>
    </w:p>
    <w:p w14:paraId="22C5C765" w14:textId="77777777" w:rsidR="000276C5" w:rsidRDefault="00390D46" w:rsidP="000276C5">
      <w:pPr>
        <w:spacing w:before="120"/>
        <w:ind w:left="720" w:right="720"/>
        <w:jc w:val="both"/>
        <w:rPr>
          <w:sz w:val="24"/>
          <w:szCs w:val="24"/>
        </w:rPr>
      </w:pPr>
      <w:r w:rsidRPr="000276C5">
        <w:rPr>
          <w:sz w:val="24"/>
          <w:szCs w:val="24"/>
        </w:rPr>
        <w:t xml:space="preserve">9. What is the monthly rate per connection for the rate-case-expense surcharge? </w:t>
      </w:r>
    </w:p>
    <w:p w14:paraId="47793E9A" w14:textId="238B6C7D" w:rsidR="000720CC" w:rsidRPr="000720CC" w:rsidRDefault="000720CC" w:rsidP="00B706A4">
      <w:pPr>
        <w:spacing w:before="300" w:after="120"/>
        <w:jc w:val="both"/>
        <w:rPr>
          <w:b/>
          <w:bCs/>
          <w:sz w:val="24"/>
          <w:szCs w:val="24"/>
        </w:rPr>
      </w:pPr>
      <w:r w:rsidRPr="000720CC">
        <w:rPr>
          <w:b/>
          <w:bCs/>
          <w:sz w:val="24"/>
          <w:szCs w:val="24"/>
        </w:rPr>
        <w:t>Additional Information</w:t>
      </w:r>
    </w:p>
    <w:p w14:paraId="5ABAD925" w14:textId="77ECC7CC" w:rsidR="00D6031A" w:rsidRPr="00655401" w:rsidRDefault="00655401" w:rsidP="006A1C94">
      <w:pPr>
        <w:jc w:val="both"/>
        <w:rPr>
          <w:b/>
          <w:bCs/>
          <w:sz w:val="24"/>
          <w:szCs w:val="24"/>
        </w:rPr>
      </w:pPr>
      <w:r w:rsidRPr="00655401">
        <w:rPr>
          <w:b/>
          <w:bCs/>
          <w:sz w:val="24"/>
          <w:szCs w:val="24"/>
        </w:rPr>
        <w:t>Issue No. 4:</w:t>
      </w:r>
    </w:p>
    <w:p w14:paraId="791E79A6" w14:textId="41E7E823" w:rsidR="00655401" w:rsidRDefault="00D6031A" w:rsidP="00655401">
      <w:pPr>
        <w:spacing w:before="120"/>
        <w:jc w:val="both"/>
        <w:rPr>
          <w:sz w:val="24"/>
          <w:szCs w:val="24"/>
        </w:rPr>
      </w:pPr>
      <w:r w:rsidRPr="00A16A74">
        <w:rPr>
          <w:sz w:val="24"/>
          <w:szCs w:val="24"/>
        </w:rPr>
        <w:t>RP AG, LLC charges Crystal Clear 50% of office expenses based upon its approximate use of the office.</w:t>
      </w:r>
      <w:r w:rsidRPr="00A16A74">
        <w:rPr>
          <w:rStyle w:val="FootnoteReference"/>
          <w:sz w:val="24"/>
          <w:szCs w:val="24"/>
        </w:rPr>
        <w:footnoteReference w:id="1"/>
      </w:r>
      <w:r w:rsidRPr="00A16A74">
        <w:rPr>
          <w:sz w:val="24"/>
          <w:szCs w:val="24"/>
        </w:rPr>
        <w:t xml:space="preserve"> </w:t>
      </w:r>
      <w:r w:rsidR="00A16A74">
        <w:rPr>
          <w:sz w:val="24"/>
          <w:szCs w:val="24"/>
        </w:rPr>
        <w:t xml:space="preserve"> </w:t>
      </w:r>
      <w:r w:rsidRPr="00A16A74">
        <w:rPr>
          <w:sz w:val="24"/>
          <w:szCs w:val="24"/>
        </w:rPr>
        <w:t>However, Crystal Clear is charged a lower amount for cell phone expenses because it only accounts for 10-20% of the usage.</w:t>
      </w:r>
      <w:r w:rsidR="00A16A74">
        <w:rPr>
          <w:rStyle w:val="FootnoteReference"/>
          <w:sz w:val="24"/>
          <w:szCs w:val="24"/>
        </w:rPr>
        <w:footnoteReference w:id="2"/>
      </w:r>
      <w:r w:rsidRPr="00A16A74">
        <w:rPr>
          <w:sz w:val="24"/>
          <w:szCs w:val="24"/>
        </w:rPr>
        <w:t xml:space="preserve"> No other costs are calculated based upon allocation.</w:t>
      </w:r>
      <w:r w:rsidR="000854B7">
        <w:rPr>
          <w:rStyle w:val="FootnoteReference"/>
          <w:sz w:val="24"/>
          <w:szCs w:val="24"/>
        </w:rPr>
        <w:footnoteReference w:id="3"/>
      </w:r>
      <w:r w:rsidRPr="00A16A74">
        <w:rPr>
          <w:sz w:val="24"/>
          <w:szCs w:val="24"/>
        </w:rPr>
        <w:t xml:space="preserve">  </w:t>
      </w:r>
    </w:p>
    <w:p w14:paraId="72B5D864" w14:textId="146CD368" w:rsidR="00655401" w:rsidRPr="00655401" w:rsidRDefault="00655401" w:rsidP="00655401">
      <w:pPr>
        <w:spacing w:before="120"/>
        <w:jc w:val="both"/>
        <w:rPr>
          <w:b/>
          <w:bCs/>
          <w:sz w:val="24"/>
          <w:szCs w:val="24"/>
        </w:rPr>
      </w:pPr>
      <w:r w:rsidRPr="00655401">
        <w:rPr>
          <w:b/>
          <w:bCs/>
          <w:sz w:val="24"/>
          <w:szCs w:val="24"/>
        </w:rPr>
        <w:t>Issue No. 5:</w:t>
      </w:r>
    </w:p>
    <w:p w14:paraId="457F01DB" w14:textId="78C15EBF" w:rsidR="00D6031A" w:rsidRDefault="00D6031A" w:rsidP="00655401">
      <w:pPr>
        <w:spacing w:before="120"/>
        <w:jc w:val="both"/>
        <w:rPr>
          <w:sz w:val="24"/>
          <w:szCs w:val="24"/>
        </w:rPr>
      </w:pPr>
      <w:r w:rsidRPr="00A16A74">
        <w:rPr>
          <w:sz w:val="24"/>
          <w:szCs w:val="24"/>
        </w:rPr>
        <w:t>RP AG, LLC does not rent the office or warehouse space to any other entity, so Crystal Clear is unable to show that the prices are no higher than the prices charged to other tenants.</w:t>
      </w:r>
      <w:r w:rsidR="00BE40A6">
        <w:rPr>
          <w:rStyle w:val="FootnoteReference"/>
          <w:sz w:val="24"/>
          <w:szCs w:val="24"/>
        </w:rPr>
        <w:footnoteReference w:id="4"/>
      </w:r>
      <w:r w:rsidRPr="00A16A74">
        <w:rPr>
          <w:sz w:val="24"/>
          <w:szCs w:val="24"/>
        </w:rPr>
        <w:t xml:space="preserve"> </w:t>
      </w:r>
      <w:r w:rsidR="00A442A3">
        <w:rPr>
          <w:sz w:val="24"/>
          <w:szCs w:val="24"/>
        </w:rPr>
        <w:t xml:space="preserve"> </w:t>
      </w:r>
      <w:r w:rsidRPr="00A16A74">
        <w:rPr>
          <w:sz w:val="24"/>
          <w:szCs w:val="24"/>
        </w:rPr>
        <w:t>RP Farm Equipment, LLC also does not rent equipment to other entities, so Crystal Clear is unable to show that the prices are no higher than the prices charged to other customers.</w:t>
      </w:r>
      <w:r w:rsidR="00A442A3">
        <w:rPr>
          <w:rStyle w:val="FootnoteReference"/>
          <w:sz w:val="24"/>
          <w:szCs w:val="24"/>
        </w:rPr>
        <w:footnoteReference w:id="5"/>
      </w:r>
    </w:p>
    <w:p w14:paraId="151C90EF" w14:textId="2C19BC4F" w:rsidR="009E6007" w:rsidRDefault="0036211C" w:rsidP="00655401">
      <w:pPr>
        <w:spacing w:before="120"/>
        <w:jc w:val="both"/>
        <w:rPr>
          <w:sz w:val="24"/>
          <w:szCs w:val="24"/>
        </w:rPr>
      </w:pPr>
      <w:r>
        <w:rPr>
          <w:sz w:val="24"/>
          <w:szCs w:val="24"/>
        </w:rPr>
        <w:t>With respect to the office expense, Crystal Clear indicated that office space in McGregor, Texas lists at $1,800 per month for 1,295 square feet or $1.39 per square foot as compared to its affiliate lease amount of $500 per month for 1,200 square feet</w:t>
      </w:r>
      <w:r w:rsidR="00F54445">
        <w:rPr>
          <w:sz w:val="24"/>
          <w:szCs w:val="24"/>
        </w:rPr>
        <w:t>,</w:t>
      </w:r>
      <w:r>
        <w:rPr>
          <w:sz w:val="24"/>
          <w:szCs w:val="24"/>
        </w:rPr>
        <w:t xml:space="preserve"> or $0.42 per square foot.</w:t>
      </w:r>
      <w:r>
        <w:rPr>
          <w:rStyle w:val="FootnoteReference"/>
          <w:sz w:val="24"/>
          <w:szCs w:val="24"/>
        </w:rPr>
        <w:footnoteReference w:id="6"/>
      </w:r>
      <w:r>
        <w:rPr>
          <w:sz w:val="24"/>
          <w:szCs w:val="24"/>
        </w:rPr>
        <w:t xml:space="preserve">  Based upon this </w:t>
      </w:r>
      <w:r w:rsidR="008D1660">
        <w:rPr>
          <w:sz w:val="24"/>
          <w:szCs w:val="24"/>
        </w:rPr>
        <w:t xml:space="preserve">limited </w:t>
      </w:r>
      <w:r>
        <w:rPr>
          <w:sz w:val="24"/>
          <w:szCs w:val="24"/>
        </w:rPr>
        <w:t xml:space="preserve">comparison </w:t>
      </w:r>
      <w:r w:rsidR="008D1660">
        <w:rPr>
          <w:sz w:val="24"/>
          <w:szCs w:val="24"/>
        </w:rPr>
        <w:t xml:space="preserve">to </w:t>
      </w:r>
      <w:r>
        <w:rPr>
          <w:sz w:val="24"/>
          <w:szCs w:val="24"/>
        </w:rPr>
        <w:t xml:space="preserve">a </w:t>
      </w:r>
      <w:r w:rsidR="008D1660">
        <w:rPr>
          <w:sz w:val="24"/>
          <w:szCs w:val="24"/>
        </w:rPr>
        <w:t>market rate</w:t>
      </w:r>
      <w:r>
        <w:rPr>
          <w:sz w:val="24"/>
          <w:szCs w:val="24"/>
        </w:rPr>
        <w:t>, the lease payment of $500</w:t>
      </w:r>
      <w:r w:rsidR="004B0D29">
        <w:rPr>
          <w:sz w:val="24"/>
          <w:szCs w:val="24"/>
        </w:rPr>
        <w:t>, which</w:t>
      </w:r>
      <w:r w:rsidR="00B56631">
        <w:rPr>
          <w:sz w:val="24"/>
          <w:szCs w:val="24"/>
        </w:rPr>
        <w:t xml:space="preserve"> Crystal Clear</w:t>
      </w:r>
      <w:r w:rsidR="004B0D29">
        <w:rPr>
          <w:sz w:val="24"/>
          <w:szCs w:val="24"/>
        </w:rPr>
        <w:t xml:space="preserve"> included in </w:t>
      </w:r>
      <w:r w:rsidR="00B56631">
        <w:rPr>
          <w:sz w:val="24"/>
          <w:szCs w:val="24"/>
        </w:rPr>
        <w:t xml:space="preserve">its </w:t>
      </w:r>
      <w:r w:rsidR="004B0D29">
        <w:rPr>
          <w:sz w:val="24"/>
          <w:szCs w:val="24"/>
        </w:rPr>
        <w:t xml:space="preserve">revenue requirement, </w:t>
      </w:r>
      <w:r w:rsidR="009E6007">
        <w:rPr>
          <w:sz w:val="24"/>
          <w:szCs w:val="24"/>
        </w:rPr>
        <w:t>is lower than the market rate.</w:t>
      </w:r>
      <w:r w:rsidR="004B0D29">
        <w:rPr>
          <w:sz w:val="24"/>
          <w:szCs w:val="24"/>
        </w:rPr>
        <w:t xml:space="preserve">  Lease expenses for office space are typically considered reasonable and necessary expenses.</w:t>
      </w:r>
    </w:p>
    <w:p w14:paraId="71A8064D" w14:textId="087FF4D6" w:rsidR="00D41C4A" w:rsidRDefault="00FF4D0C" w:rsidP="00655401">
      <w:pPr>
        <w:spacing w:before="120"/>
        <w:jc w:val="both"/>
        <w:rPr>
          <w:sz w:val="24"/>
          <w:szCs w:val="24"/>
        </w:rPr>
      </w:pPr>
      <w:r>
        <w:rPr>
          <w:sz w:val="24"/>
          <w:szCs w:val="24"/>
        </w:rPr>
        <w:t xml:space="preserve">Crystal Clear represents that the daily rental charged from RP </w:t>
      </w:r>
      <w:r w:rsidR="005D5C85">
        <w:rPr>
          <w:sz w:val="24"/>
          <w:szCs w:val="24"/>
        </w:rPr>
        <w:t>Farm Equipment</w:t>
      </w:r>
      <w:r w:rsidR="00844419">
        <w:rPr>
          <w:sz w:val="24"/>
          <w:szCs w:val="24"/>
        </w:rPr>
        <w:t>, LLC for its mini excavator equals $300</w:t>
      </w:r>
      <w:r w:rsidR="003B3BA4">
        <w:rPr>
          <w:sz w:val="24"/>
          <w:szCs w:val="24"/>
        </w:rPr>
        <w:t>,</w:t>
      </w:r>
      <w:r w:rsidR="00844419">
        <w:rPr>
          <w:sz w:val="24"/>
          <w:szCs w:val="24"/>
        </w:rPr>
        <w:t xml:space="preserve"> as compared to United Rentals’ rate of $318.</w:t>
      </w:r>
      <w:r w:rsidR="00325107">
        <w:rPr>
          <w:rStyle w:val="FootnoteReference"/>
          <w:sz w:val="24"/>
          <w:szCs w:val="24"/>
        </w:rPr>
        <w:footnoteReference w:id="7"/>
      </w:r>
      <w:r w:rsidR="00844419">
        <w:rPr>
          <w:sz w:val="24"/>
          <w:szCs w:val="24"/>
        </w:rPr>
        <w:t xml:space="preserve">  </w:t>
      </w:r>
      <w:r w:rsidR="00EC33BD">
        <w:rPr>
          <w:sz w:val="24"/>
          <w:szCs w:val="24"/>
        </w:rPr>
        <w:t xml:space="preserve">For purposes of Crystal Clear’s comparison, </w:t>
      </w:r>
      <w:r w:rsidR="00293E90">
        <w:rPr>
          <w:sz w:val="24"/>
          <w:szCs w:val="24"/>
        </w:rPr>
        <w:t xml:space="preserve">United Rentals is considered a third-party provider.  </w:t>
      </w:r>
      <w:r w:rsidR="00844419">
        <w:rPr>
          <w:sz w:val="24"/>
          <w:szCs w:val="24"/>
        </w:rPr>
        <w:t xml:space="preserve">Further, RP </w:t>
      </w:r>
      <w:r w:rsidR="005D5C85">
        <w:rPr>
          <w:sz w:val="24"/>
          <w:szCs w:val="24"/>
        </w:rPr>
        <w:t>Farm Equipment</w:t>
      </w:r>
      <w:r w:rsidR="00844419">
        <w:rPr>
          <w:sz w:val="24"/>
          <w:szCs w:val="24"/>
        </w:rPr>
        <w:t>, LLC’s pick</w:t>
      </w:r>
      <w:r w:rsidR="00A969E8">
        <w:rPr>
          <w:sz w:val="24"/>
          <w:szCs w:val="24"/>
        </w:rPr>
        <w:t>-</w:t>
      </w:r>
      <w:r w:rsidR="00844419">
        <w:rPr>
          <w:sz w:val="24"/>
          <w:szCs w:val="24"/>
        </w:rPr>
        <w:t>up and deliver</w:t>
      </w:r>
      <w:r w:rsidR="00325107">
        <w:rPr>
          <w:sz w:val="24"/>
          <w:szCs w:val="24"/>
        </w:rPr>
        <w:t>y</w:t>
      </w:r>
      <w:r w:rsidR="00844419">
        <w:rPr>
          <w:sz w:val="24"/>
          <w:szCs w:val="24"/>
        </w:rPr>
        <w:t xml:space="preserve"> fees both equal $200</w:t>
      </w:r>
      <w:r w:rsidR="00325107">
        <w:rPr>
          <w:sz w:val="24"/>
          <w:szCs w:val="24"/>
        </w:rPr>
        <w:t>, while United Rentals charges a $294.46 delivery fee and a $231.06 pick</w:t>
      </w:r>
      <w:r w:rsidR="00A5469B">
        <w:rPr>
          <w:sz w:val="24"/>
          <w:szCs w:val="24"/>
        </w:rPr>
        <w:t>-</w:t>
      </w:r>
      <w:r w:rsidR="00325107">
        <w:rPr>
          <w:sz w:val="24"/>
          <w:szCs w:val="24"/>
        </w:rPr>
        <w:t>up fee.</w:t>
      </w:r>
      <w:r w:rsidR="004918EA">
        <w:rPr>
          <w:rStyle w:val="FootnoteReference"/>
          <w:sz w:val="24"/>
          <w:szCs w:val="24"/>
        </w:rPr>
        <w:footnoteReference w:id="8"/>
      </w:r>
      <w:r w:rsidR="00325107">
        <w:rPr>
          <w:sz w:val="24"/>
          <w:szCs w:val="24"/>
        </w:rPr>
        <w:t xml:space="preserve">  </w:t>
      </w:r>
      <w:r w:rsidR="000F7F8A">
        <w:rPr>
          <w:sz w:val="24"/>
          <w:szCs w:val="24"/>
        </w:rPr>
        <w:t xml:space="preserve">The rate included in Crystal Clear’s revenue requirement for equipment </w:t>
      </w:r>
      <w:r w:rsidR="00B74898">
        <w:rPr>
          <w:sz w:val="24"/>
          <w:szCs w:val="24"/>
        </w:rPr>
        <w:t>rentals</w:t>
      </w:r>
      <w:r w:rsidR="000F7F8A">
        <w:rPr>
          <w:sz w:val="24"/>
          <w:szCs w:val="24"/>
        </w:rPr>
        <w:t xml:space="preserve"> is lower than the rate</w:t>
      </w:r>
      <w:r w:rsidR="001A6947">
        <w:rPr>
          <w:sz w:val="24"/>
          <w:szCs w:val="24"/>
        </w:rPr>
        <w:t xml:space="preserve"> charged by a third party</w:t>
      </w:r>
      <w:r w:rsidR="000F7F8A">
        <w:rPr>
          <w:sz w:val="24"/>
          <w:szCs w:val="24"/>
        </w:rPr>
        <w:t>.</w:t>
      </w:r>
      <w:r w:rsidR="00BE60E9">
        <w:rPr>
          <w:sz w:val="24"/>
          <w:szCs w:val="24"/>
        </w:rPr>
        <w:t xml:space="preserve">  Patricia Garcia of the Infrastructure Division provides a recommendation as to the reasonableness and necessity of this expense category.</w:t>
      </w:r>
    </w:p>
    <w:p w14:paraId="6DD5B442" w14:textId="3D9B97D5" w:rsidR="00655401" w:rsidRPr="00655401" w:rsidRDefault="00655401" w:rsidP="00E86927">
      <w:pPr>
        <w:spacing w:before="720"/>
        <w:jc w:val="both"/>
        <w:rPr>
          <w:b/>
          <w:bCs/>
          <w:sz w:val="24"/>
          <w:szCs w:val="24"/>
        </w:rPr>
      </w:pPr>
      <w:r w:rsidRPr="00655401">
        <w:rPr>
          <w:b/>
          <w:bCs/>
          <w:sz w:val="24"/>
          <w:szCs w:val="24"/>
        </w:rPr>
        <w:lastRenderedPageBreak/>
        <w:t xml:space="preserve">Issue No. </w:t>
      </w:r>
      <w:r>
        <w:rPr>
          <w:b/>
          <w:bCs/>
          <w:sz w:val="24"/>
          <w:szCs w:val="24"/>
        </w:rPr>
        <w:t>6</w:t>
      </w:r>
      <w:r w:rsidRPr="00655401">
        <w:rPr>
          <w:b/>
          <w:bCs/>
          <w:sz w:val="24"/>
          <w:szCs w:val="24"/>
        </w:rPr>
        <w:t>:</w:t>
      </w:r>
    </w:p>
    <w:p w14:paraId="102DDA54" w14:textId="218574A5" w:rsidR="00D6031A" w:rsidRDefault="00EF531A" w:rsidP="00A3063E">
      <w:pPr>
        <w:spacing w:before="120"/>
        <w:jc w:val="both"/>
        <w:rPr>
          <w:sz w:val="24"/>
          <w:szCs w:val="24"/>
        </w:rPr>
      </w:pPr>
      <w:r>
        <w:rPr>
          <w:sz w:val="24"/>
          <w:szCs w:val="24"/>
        </w:rPr>
        <w:t xml:space="preserve">Going forward, </w:t>
      </w:r>
      <w:r w:rsidR="009370D6" w:rsidRPr="009370D6">
        <w:rPr>
          <w:sz w:val="24"/>
          <w:szCs w:val="24"/>
        </w:rPr>
        <w:t xml:space="preserve">Crystal Clear </w:t>
      </w:r>
      <w:r w:rsidR="00A3063E">
        <w:rPr>
          <w:sz w:val="24"/>
          <w:szCs w:val="24"/>
        </w:rPr>
        <w:t xml:space="preserve">commits to </w:t>
      </w:r>
      <w:r w:rsidR="009370D6" w:rsidRPr="009370D6">
        <w:rPr>
          <w:sz w:val="24"/>
          <w:szCs w:val="24"/>
        </w:rPr>
        <w:t>submit</w:t>
      </w:r>
      <w:r w:rsidR="00A3063E">
        <w:rPr>
          <w:sz w:val="24"/>
          <w:szCs w:val="24"/>
        </w:rPr>
        <w:t>ting</w:t>
      </w:r>
      <w:r w:rsidR="009370D6" w:rsidRPr="009370D6">
        <w:rPr>
          <w:sz w:val="24"/>
          <w:szCs w:val="24"/>
        </w:rPr>
        <w:t xml:space="preserve"> Annual Reports to the Commission as required by 16 Texas Administrative Code § 24.129</w:t>
      </w:r>
      <w:r w:rsidR="009370D6">
        <w:rPr>
          <w:sz w:val="24"/>
          <w:szCs w:val="24"/>
        </w:rPr>
        <w:t>.</w:t>
      </w:r>
      <w:r w:rsidR="009370D6">
        <w:rPr>
          <w:rStyle w:val="FootnoteReference"/>
          <w:sz w:val="24"/>
          <w:szCs w:val="24"/>
        </w:rPr>
        <w:footnoteReference w:id="9"/>
      </w:r>
      <w:r w:rsidR="00377412">
        <w:rPr>
          <w:sz w:val="24"/>
          <w:szCs w:val="24"/>
        </w:rPr>
        <w:t xml:space="preserve">  </w:t>
      </w:r>
    </w:p>
    <w:p w14:paraId="07A6CF7E" w14:textId="31093C7A" w:rsidR="00920E1F" w:rsidRDefault="00920E1F" w:rsidP="00920E1F">
      <w:pPr>
        <w:spacing w:before="120"/>
        <w:jc w:val="both"/>
        <w:rPr>
          <w:sz w:val="24"/>
          <w:szCs w:val="24"/>
        </w:rPr>
      </w:pPr>
      <w:r>
        <w:rPr>
          <w:sz w:val="24"/>
          <w:szCs w:val="24"/>
        </w:rPr>
        <w:t>On</w:t>
      </w:r>
      <w:r w:rsidR="00691B2B">
        <w:rPr>
          <w:sz w:val="24"/>
          <w:szCs w:val="24"/>
        </w:rPr>
        <w:t xml:space="preserve"> March 1, 2023</w:t>
      </w:r>
      <w:r>
        <w:rPr>
          <w:sz w:val="24"/>
          <w:szCs w:val="24"/>
        </w:rPr>
        <w:t xml:space="preserve">, Crystal Clear provided </w:t>
      </w:r>
      <w:r w:rsidR="007D2FBE">
        <w:rPr>
          <w:sz w:val="24"/>
          <w:szCs w:val="24"/>
        </w:rPr>
        <w:t>its</w:t>
      </w:r>
      <w:r>
        <w:rPr>
          <w:sz w:val="24"/>
          <w:szCs w:val="24"/>
        </w:rPr>
        <w:t xml:space="preserve"> </w:t>
      </w:r>
      <w:r w:rsidR="00A77106">
        <w:rPr>
          <w:sz w:val="24"/>
          <w:szCs w:val="24"/>
        </w:rPr>
        <w:t>Amended and Restated</w:t>
      </w:r>
      <w:r>
        <w:rPr>
          <w:sz w:val="24"/>
          <w:szCs w:val="24"/>
        </w:rPr>
        <w:t xml:space="preserve"> </w:t>
      </w:r>
      <w:r w:rsidR="00A77106">
        <w:rPr>
          <w:sz w:val="24"/>
          <w:szCs w:val="24"/>
        </w:rPr>
        <w:t>L</w:t>
      </w:r>
      <w:r>
        <w:rPr>
          <w:sz w:val="24"/>
          <w:szCs w:val="24"/>
        </w:rPr>
        <w:t xml:space="preserve">ease </w:t>
      </w:r>
      <w:r w:rsidR="00A77106">
        <w:rPr>
          <w:sz w:val="24"/>
          <w:szCs w:val="24"/>
        </w:rPr>
        <w:t>A</w:t>
      </w:r>
      <w:r>
        <w:rPr>
          <w:sz w:val="24"/>
          <w:szCs w:val="24"/>
        </w:rPr>
        <w:t>greement, which details the terms of its affiliate arrangement for the office space</w:t>
      </w:r>
      <w:r w:rsidR="007D2FBE">
        <w:rPr>
          <w:sz w:val="24"/>
          <w:szCs w:val="24"/>
        </w:rPr>
        <w:t>, as amended on February 24, 2023</w:t>
      </w:r>
      <w:r w:rsidRPr="00691B2B">
        <w:rPr>
          <w:sz w:val="24"/>
          <w:szCs w:val="24"/>
        </w:rPr>
        <w:t>.</w:t>
      </w:r>
      <w:r w:rsidR="00691B2B">
        <w:rPr>
          <w:rStyle w:val="FootnoteReference"/>
          <w:sz w:val="24"/>
          <w:szCs w:val="24"/>
        </w:rPr>
        <w:footnoteReference w:id="10"/>
      </w:r>
      <w:r w:rsidR="00EA3969" w:rsidRPr="00691B2B">
        <w:rPr>
          <w:sz w:val="24"/>
          <w:szCs w:val="24"/>
        </w:rPr>
        <w:t xml:space="preserve">  The</w:t>
      </w:r>
      <w:r w:rsidR="00473A99">
        <w:rPr>
          <w:sz w:val="24"/>
          <w:szCs w:val="24"/>
        </w:rPr>
        <w:t xml:space="preserve"> </w:t>
      </w:r>
      <w:r w:rsidR="005B0709">
        <w:rPr>
          <w:sz w:val="24"/>
          <w:szCs w:val="24"/>
        </w:rPr>
        <w:t>Amended and Restated Lease Agreement</w:t>
      </w:r>
      <w:r w:rsidR="002E5600">
        <w:rPr>
          <w:sz w:val="24"/>
          <w:szCs w:val="24"/>
        </w:rPr>
        <w:t>, as amended on February 24, 2023,</w:t>
      </w:r>
      <w:r w:rsidR="00EA3969" w:rsidRPr="00691B2B">
        <w:rPr>
          <w:sz w:val="24"/>
          <w:szCs w:val="24"/>
        </w:rPr>
        <w:t xml:space="preserve"> include</w:t>
      </w:r>
      <w:r w:rsidR="00473A99">
        <w:rPr>
          <w:sz w:val="24"/>
          <w:szCs w:val="24"/>
        </w:rPr>
        <w:t>s the</w:t>
      </w:r>
      <w:r w:rsidR="00EA3969">
        <w:rPr>
          <w:sz w:val="24"/>
          <w:szCs w:val="24"/>
        </w:rPr>
        <w:t xml:space="preserve"> </w:t>
      </w:r>
      <w:r w:rsidR="00691B2B">
        <w:rPr>
          <w:sz w:val="24"/>
          <w:szCs w:val="24"/>
        </w:rPr>
        <w:t xml:space="preserve">term of </w:t>
      </w:r>
      <w:r w:rsidR="00473A99">
        <w:rPr>
          <w:sz w:val="24"/>
          <w:szCs w:val="24"/>
        </w:rPr>
        <w:t xml:space="preserve">the </w:t>
      </w:r>
      <w:r w:rsidR="00691B2B">
        <w:rPr>
          <w:sz w:val="24"/>
          <w:szCs w:val="24"/>
        </w:rPr>
        <w:t xml:space="preserve">lease as one year with an automatic renewal each anniversary of the effective date for an additional one year unless the Lessor or Lessee </w:t>
      </w:r>
      <w:r w:rsidR="00473A99">
        <w:rPr>
          <w:sz w:val="24"/>
          <w:szCs w:val="24"/>
        </w:rPr>
        <w:t>p</w:t>
      </w:r>
      <w:r w:rsidR="00691B2B">
        <w:rPr>
          <w:sz w:val="24"/>
          <w:szCs w:val="24"/>
        </w:rPr>
        <w:t>rovides 30 days’ prior written notice.</w:t>
      </w:r>
      <w:r w:rsidR="00473A99">
        <w:rPr>
          <w:rStyle w:val="FootnoteReference"/>
          <w:sz w:val="24"/>
          <w:szCs w:val="24"/>
        </w:rPr>
        <w:footnoteReference w:id="11"/>
      </w:r>
      <w:r w:rsidR="00CF4D80">
        <w:rPr>
          <w:sz w:val="24"/>
          <w:szCs w:val="24"/>
        </w:rPr>
        <w:t xml:space="preserve">  The initial lease provided for the rental of office space at $500 per month.</w:t>
      </w:r>
      <w:r w:rsidR="00CF4D80">
        <w:rPr>
          <w:rStyle w:val="FootnoteReference"/>
          <w:sz w:val="24"/>
          <w:szCs w:val="24"/>
        </w:rPr>
        <w:footnoteReference w:id="12"/>
      </w:r>
      <w:r w:rsidR="00D92BEE">
        <w:rPr>
          <w:sz w:val="24"/>
          <w:szCs w:val="24"/>
        </w:rPr>
        <w:t xml:space="preserve">  Subsequent to the test year, the Amended and Restated Lease Agreement provides for an increase in the rental rate and results in a rate of $1.20 per square foot.</w:t>
      </w:r>
      <w:r w:rsidR="00D92BEE">
        <w:rPr>
          <w:rStyle w:val="FootnoteReference"/>
          <w:sz w:val="24"/>
          <w:szCs w:val="24"/>
        </w:rPr>
        <w:footnoteReference w:id="13"/>
      </w:r>
    </w:p>
    <w:p w14:paraId="4D5A8918" w14:textId="4F57E98A" w:rsidR="00920E1F" w:rsidRDefault="00D41C4A" w:rsidP="00D41C4A">
      <w:pPr>
        <w:spacing w:before="120"/>
        <w:jc w:val="both"/>
        <w:rPr>
          <w:sz w:val="24"/>
          <w:szCs w:val="24"/>
        </w:rPr>
      </w:pPr>
      <w:r>
        <w:rPr>
          <w:sz w:val="24"/>
          <w:szCs w:val="24"/>
        </w:rPr>
        <w:t>Crystal Clear represented that written agreements for its equipment rentals from RP Farm Equipment, LLC are not reasonable because other utilities in the industry typically would not enter into a long-term written contract governing such rentals.</w:t>
      </w:r>
      <w:r>
        <w:rPr>
          <w:rStyle w:val="FootnoteReference"/>
          <w:sz w:val="24"/>
          <w:szCs w:val="24"/>
        </w:rPr>
        <w:footnoteReference w:id="14"/>
      </w:r>
      <w:r>
        <w:rPr>
          <w:sz w:val="24"/>
          <w:szCs w:val="24"/>
        </w:rPr>
        <w:t xml:space="preserve">  </w:t>
      </w:r>
    </w:p>
    <w:p w14:paraId="6A9D087D" w14:textId="0E65B9F7" w:rsidR="000720CC" w:rsidRPr="00655401" w:rsidRDefault="000720CC" w:rsidP="000720CC">
      <w:pPr>
        <w:spacing w:before="120"/>
        <w:jc w:val="both"/>
        <w:rPr>
          <w:b/>
          <w:bCs/>
          <w:sz w:val="24"/>
          <w:szCs w:val="24"/>
        </w:rPr>
      </w:pPr>
      <w:r w:rsidRPr="00655401">
        <w:rPr>
          <w:b/>
          <w:bCs/>
          <w:sz w:val="24"/>
          <w:szCs w:val="24"/>
        </w:rPr>
        <w:t>Issue No</w:t>
      </w:r>
      <w:r w:rsidR="00045E55">
        <w:rPr>
          <w:b/>
          <w:bCs/>
          <w:sz w:val="24"/>
          <w:szCs w:val="24"/>
        </w:rPr>
        <w:t>s</w:t>
      </w:r>
      <w:r w:rsidRPr="00655401">
        <w:rPr>
          <w:b/>
          <w:bCs/>
          <w:sz w:val="24"/>
          <w:szCs w:val="24"/>
        </w:rPr>
        <w:t xml:space="preserve">. </w:t>
      </w:r>
      <w:r>
        <w:rPr>
          <w:b/>
          <w:bCs/>
          <w:sz w:val="24"/>
          <w:szCs w:val="24"/>
        </w:rPr>
        <w:t>8</w:t>
      </w:r>
      <w:r w:rsidR="00045E55">
        <w:rPr>
          <w:b/>
          <w:bCs/>
          <w:sz w:val="24"/>
          <w:szCs w:val="24"/>
        </w:rPr>
        <w:t xml:space="preserve"> and 9</w:t>
      </w:r>
      <w:r w:rsidRPr="00655401">
        <w:rPr>
          <w:b/>
          <w:bCs/>
          <w:sz w:val="24"/>
          <w:szCs w:val="24"/>
        </w:rPr>
        <w:t>:</w:t>
      </w:r>
    </w:p>
    <w:p w14:paraId="60D3939D" w14:textId="77777777" w:rsidR="00D66981" w:rsidRDefault="00EA6CCD" w:rsidP="00324F5C">
      <w:pPr>
        <w:tabs>
          <w:tab w:val="num" w:pos="720"/>
        </w:tabs>
        <w:spacing w:before="120"/>
        <w:jc w:val="both"/>
        <w:rPr>
          <w:snapToGrid w:val="0"/>
          <w:sz w:val="24"/>
          <w:szCs w:val="24"/>
        </w:rPr>
      </w:pPr>
      <w:r w:rsidRPr="00EA6CCD">
        <w:rPr>
          <w:snapToGrid w:val="0"/>
          <w:sz w:val="24"/>
          <w:szCs w:val="24"/>
        </w:rPr>
        <w:t>Crystal Clear</w:t>
      </w:r>
      <w:r>
        <w:rPr>
          <w:snapToGrid w:val="0"/>
          <w:sz w:val="24"/>
          <w:szCs w:val="24"/>
        </w:rPr>
        <w:t xml:space="preserve"> agrees</w:t>
      </w:r>
      <w:r w:rsidRPr="00EA6CCD">
        <w:rPr>
          <w:snapToGrid w:val="0"/>
          <w:sz w:val="24"/>
          <w:szCs w:val="24"/>
        </w:rPr>
        <w:t xml:space="preserve"> to collect rate-case expenses of $4</w:t>
      </w:r>
      <w:r w:rsidRPr="00EA6CCD">
        <w:rPr>
          <w:snapToGrid w:val="0"/>
          <w:color w:val="000000"/>
          <w:spacing w:val="1"/>
          <w:sz w:val="24"/>
          <w:szCs w:val="24"/>
        </w:rPr>
        <w:t>4,965</w:t>
      </w:r>
      <w:r w:rsidRPr="00EA6CCD">
        <w:rPr>
          <w:snapToGrid w:val="0"/>
          <w:sz w:val="24"/>
          <w:szCs w:val="24"/>
        </w:rPr>
        <w:t xml:space="preserve"> </w:t>
      </w:r>
      <w:r>
        <w:rPr>
          <w:snapToGrid w:val="0"/>
          <w:sz w:val="24"/>
          <w:szCs w:val="24"/>
        </w:rPr>
        <w:t>through</w:t>
      </w:r>
      <w:r w:rsidRPr="00EA6CCD">
        <w:rPr>
          <w:snapToGrid w:val="0"/>
          <w:sz w:val="24"/>
          <w:szCs w:val="24"/>
        </w:rPr>
        <w:t xml:space="preserve"> a monthly surcharge of $8.50 per connection over a 23-month period.</w:t>
      </w:r>
      <w:r>
        <w:rPr>
          <w:snapToGrid w:val="0"/>
          <w:sz w:val="24"/>
          <w:szCs w:val="24"/>
        </w:rPr>
        <w:t xml:space="preserve">  </w:t>
      </w:r>
      <w:r w:rsidR="00CC77AC">
        <w:rPr>
          <w:snapToGrid w:val="0"/>
          <w:sz w:val="24"/>
          <w:szCs w:val="24"/>
        </w:rPr>
        <w:t xml:space="preserve">Further, Crystal Clear agrees not to seek to recover any additional rate-case expenses incurred in connection with this </w:t>
      </w:r>
      <w:r w:rsidR="00D66981">
        <w:rPr>
          <w:snapToGrid w:val="0"/>
          <w:sz w:val="24"/>
          <w:szCs w:val="24"/>
        </w:rPr>
        <w:t>a</w:t>
      </w:r>
      <w:r w:rsidR="00CC77AC">
        <w:rPr>
          <w:snapToGrid w:val="0"/>
          <w:sz w:val="24"/>
          <w:szCs w:val="24"/>
        </w:rPr>
        <w:t xml:space="preserve">pplication in a future proceeding.  </w:t>
      </w:r>
    </w:p>
    <w:p w14:paraId="5D20B8A6" w14:textId="18DF088B" w:rsidR="00D66981" w:rsidRDefault="00D66981" w:rsidP="00D66981">
      <w:pPr>
        <w:tabs>
          <w:tab w:val="num" w:pos="720"/>
        </w:tabs>
        <w:spacing w:before="120"/>
        <w:jc w:val="both"/>
        <w:rPr>
          <w:snapToGrid w:val="0"/>
          <w:sz w:val="24"/>
          <w:szCs w:val="24"/>
        </w:rPr>
      </w:pPr>
      <w:r w:rsidRPr="00C00B5C">
        <w:rPr>
          <w:snapToGrid w:val="0"/>
          <w:sz w:val="24"/>
          <w:szCs w:val="24"/>
        </w:rPr>
        <w:t xml:space="preserve">On </w:t>
      </w:r>
      <w:r w:rsidR="000961E0" w:rsidRPr="00C00B5C">
        <w:rPr>
          <w:snapToGrid w:val="0"/>
          <w:sz w:val="24"/>
          <w:szCs w:val="24"/>
        </w:rPr>
        <w:t>March 1</w:t>
      </w:r>
      <w:r w:rsidRPr="00C00B5C">
        <w:rPr>
          <w:snapToGrid w:val="0"/>
          <w:sz w:val="24"/>
          <w:szCs w:val="24"/>
        </w:rPr>
        <w:t>, 2023 Crystal Clear submitted the affidavit of David Klein</w:t>
      </w:r>
      <w:r w:rsidR="000961E0" w:rsidRPr="00C00B5C">
        <w:rPr>
          <w:snapToGrid w:val="0"/>
          <w:sz w:val="24"/>
          <w:szCs w:val="24"/>
        </w:rPr>
        <w:t>, attorney at</w:t>
      </w:r>
      <w:r w:rsidRPr="00C00B5C">
        <w:rPr>
          <w:snapToGrid w:val="0"/>
          <w:sz w:val="24"/>
          <w:szCs w:val="24"/>
        </w:rPr>
        <w:t xml:space="preserve"> Lloyd </w:t>
      </w:r>
      <w:proofErr w:type="spellStart"/>
      <w:r w:rsidRPr="00C00B5C">
        <w:rPr>
          <w:snapToGrid w:val="0"/>
          <w:sz w:val="24"/>
          <w:szCs w:val="24"/>
        </w:rPr>
        <w:t>Gosselink</w:t>
      </w:r>
      <w:proofErr w:type="spellEnd"/>
      <w:r w:rsidR="000961E0" w:rsidRPr="00C00B5C">
        <w:rPr>
          <w:snapToGrid w:val="0"/>
          <w:sz w:val="24"/>
          <w:szCs w:val="24"/>
        </w:rPr>
        <w:t xml:space="preserve"> Rochelle &amp; Townsend</w:t>
      </w:r>
      <w:r w:rsidRPr="00C00B5C">
        <w:rPr>
          <w:snapToGrid w:val="0"/>
          <w:sz w:val="24"/>
          <w:szCs w:val="24"/>
        </w:rPr>
        <w:t>, P</w:t>
      </w:r>
      <w:r w:rsidR="000961E0" w:rsidRPr="00C00B5C">
        <w:rPr>
          <w:snapToGrid w:val="0"/>
          <w:sz w:val="24"/>
          <w:szCs w:val="24"/>
        </w:rPr>
        <w:t>.</w:t>
      </w:r>
      <w:r w:rsidRPr="00C00B5C">
        <w:rPr>
          <w:snapToGrid w:val="0"/>
          <w:sz w:val="24"/>
          <w:szCs w:val="24"/>
        </w:rPr>
        <w:t>C</w:t>
      </w:r>
      <w:r w:rsidR="000961E0" w:rsidRPr="00C00B5C">
        <w:rPr>
          <w:snapToGrid w:val="0"/>
          <w:sz w:val="24"/>
          <w:szCs w:val="24"/>
        </w:rPr>
        <w:t>.</w:t>
      </w:r>
      <w:r w:rsidRPr="00C00B5C">
        <w:rPr>
          <w:snapToGrid w:val="0"/>
          <w:sz w:val="24"/>
          <w:szCs w:val="24"/>
        </w:rPr>
        <w:t xml:space="preserve"> attesting to the</w:t>
      </w:r>
      <w:r w:rsidR="00C00B5C" w:rsidRPr="00C00B5C">
        <w:rPr>
          <w:snapToGrid w:val="0"/>
          <w:sz w:val="24"/>
          <w:szCs w:val="24"/>
        </w:rPr>
        <w:t xml:space="preserve"> reasonableness of the</w:t>
      </w:r>
      <w:r w:rsidRPr="00C00B5C">
        <w:rPr>
          <w:snapToGrid w:val="0"/>
          <w:sz w:val="24"/>
          <w:szCs w:val="24"/>
        </w:rPr>
        <w:t xml:space="preserve"> rate-</w:t>
      </w:r>
      <w:r>
        <w:rPr>
          <w:snapToGrid w:val="0"/>
          <w:sz w:val="24"/>
          <w:szCs w:val="24"/>
        </w:rPr>
        <w:t>case expenses incurred in this proceeding.</w:t>
      </w:r>
      <w:r w:rsidR="00C00B5C">
        <w:rPr>
          <w:rStyle w:val="FootnoteReference"/>
          <w:snapToGrid w:val="0"/>
          <w:sz w:val="24"/>
          <w:szCs w:val="24"/>
        </w:rPr>
        <w:footnoteReference w:id="15"/>
      </w:r>
    </w:p>
    <w:p w14:paraId="6332AA2C" w14:textId="5669CEFD" w:rsidR="00DC6C4A" w:rsidRDefault="003C2B26" w:rsidP="00324F5C">
      <w:pPr>
        <w:tabs>
          <w:tab w:val="num" w:pos="720"/>
        </w:tabs>
        <w:spacing w:before="120"/>
        <w:jc w:val="both"/>
        <w:rPr>
          <w:snapToGrid w:val="0"/>
          <w:sz w:val="24"/>
          <w:szCs w:val="24"/>
        </w:rPr>
      </w:pPr>
      <w:r>
        <w:rPr>
          <w:snapToGrid w:val="0"/>
          <w:sz w:val="24"/>
          <w:szCs w:val="24"/>
        </w:rPr>
        <w:t>Crystal Clear submitted rate-case expense supporting documentation on November 12, 2021, September 12, 2022, November 22, 2022, and January 20, 2023.</w:t>
      </w:r>
      <w:r w:rsidR="00E83113">
        <w:rPr>
          <w:rStyle w:val="FootnoteReference"/>
          <w:snapToGrid w:val="0"/>
          <w:sz w:val="24"/>
          <w:szCs w:val="24"/>
        </w:rPr>
        <w:footnoteReference w:id="16"/>
      </w:r>
      <w:r>
        <w:rPr>
          <w:snapToGrid w:val="0"/>
          <w:sz w:val="24"/>
          <w:szCs w:val="24"/>
        </w:rPr>
        <w:t xml:space="preserve">  </w:t>
      </w:r>
      <w:r w:rsidR="00F52493">
        <w:rPr>
          <w:snapToGrid w:val="0"/>
          <w:sz w:val="24"/>
          <w:szCs w:val="24"/>
        </w:rPr>
        <w:t>In reviewing the rate-case expense documentation submitted by Crystal Clear</w:t>
      </w:r>
      <w:r w:rsidR="001C20B9">
        <w:rPr>
          <w:snapToGrid w:val="0"/>
          <w:sz w:val="24"/>
          <w:szCs w:val="24"/>
        </w:rPr>
        <w:t xml:space="preserve"> in this proceeding</w:t>
      </w:r>
      <w:r w:rsidR="00F52493">
        <w:rPr>
          <w:snapToGrid w:val="0"/>
          <w:sz w:val="24"/>
          <w:szCs w:val="24"/>
        </w:rPr>
        <w:t xml:space="preserve">, I considered the provisions of </w:t>
      </w:r>
      <w:r w:rsidR="00F52493" w:rsidRPr="00DC6C4A">
        <w:rPr>
          <w:sz w:val="24"/>
          <w:szCs w:val="24"/>
        </w:rPr>
        <w:t>16 TAC § 24.44</w:t>
      </w:r>
      <w:r w:rsidR="00F52493">
        <w:rPr>
          <w:sz w:val="24"/>
          <w:szCs w:val="24"/>
        </w:rPr>
        <w:t xml:space="preserve"> </w:t>
      </w:r>
      <w:r w:rsidR="001C20B9">
        <w:rPr>
          <w:sz w:val="24"/>
          <w:szCs w:val="24"/>
        </w:rPr>
        <w:t>(</w:t>
      </w:r>
      <w:r w:rsidR="00F52493">
        <w:rPr>
          <w:sz w:val="24"/>
          <w:szCs w:val="24"/>
        </w:rPr>
        <w:t xml:space="preserve">relating to </w:t>
      </w:r>
      <w:r w:rsidR="001C20B9">
        <w:rPr>
          <w:sz w:val="24"/>
          <w:szCs w:val="24"/>
        </w:rPr>
        <w:t>R</w:t>
      </w:r>
      <w:r w:rsidR="00F52493">
        <w:rPr>
          <w:sz w:val="24"/>
          <w:szCs w:val="24"/>
        </w:rPr>
        <w:t xml:space="preserve">ate-case </w:t>
      </w:r>
      <w:r w:rsidR="001C20B9">
        <w:rPr>
          <w:sz w:val="24"/>
          <w:szCs w:val="24"/>
        </w:rPr>
        <w:t>E</w:t>
      </w:r>
      <w:r w:rsidR="00F52493">
        <w:rPr>
          <w:sz w:val="24"/>
          <w:szCs w:val="24"/>
        </w:rPr>
        <w:t>xpenses</w:t>
      </w:r>
      <w:r w:rsidR="001C20B9">
        <w:rPr>
          <w:sz w:val="24"/>
          <w:szCs w:val="24"/>
        </w:rPr>
        <w:t>)</w:t>
      </w:r>
      <w:r w:rsidR="00F52493">
        <w:rPr>
          <w:sz w:val="24"/>
          <w:szCs w:val="24"/>
        </w:rPr>
        <w:t>.</w:t>
      </w:r>
    </w:p>
    <w:p w14:paraId="454D5205" w14:textId="77777777" w:rsidR="00DC6C4A" w:rsidRPr="00DC6C4A" w:rsidRDefault="00DC6C4A" w:rsidP="00DC6C4A">
      <w:pPr>
        <w:keepNext/>
        <w:spacing w:before="120"/>
        <w:jc w:val="both"/>
        <w:rPr>
          <w:sz w:val="24"/>
          <w:szCs w:val="24"/>
        </w:rPr>
      </w:pPr>
      <w:r w:rsidRPr="00DC6C4A">
        <w:rPr>
          <w:sz w:val="24"/>
          <w:szCs w:val="24"/>
        </w:rPr>
        <w:lastRenderedPageBreak/>
        <w:t>The guiding standards of 16 TAC § 24.44 (b) indicate:</w:t>
      </w:r>
    </w:p>
    <w:p w14:paraId="42506CF2" w14:textId="77777777" w:rsidR="00DC6C4A" w:rsidRPr="00DC6C4A" w:rsidRDefault="00DC6C4A" w:rsidP="00DC6C4A">
      <w:pPr>
        <w:spacing w:before="120"/>
        <w:jc w:val="both"/>
        <w:rPr>
          <w:sz w:val="24"/>
          <w:szCs w:val="24"/>
        </w:rPr>
      </w:pPr>
      <w:r w:rsidRPr="00DC6C4A">
        <w:rPr>
          <w:sz w:val="24"/>
          <w:szCs w:val="24"/>
        </w:rPr>
        <w:t xml:space="preserve">(b) Requirements for claiming recovery of or reimbursement for rate-case expenses. A utility requesting recovery of its rate-case expenses has the burden to prove the reasonableness of such rate-case expenses by a preponderance of the evidence. A utility seeking recovery of rate-case expenses must submit information that sufficiently details and itemizes all rate-case expenses, including, but not limited to, evidence verified by testimony or affidavit, showing: </w:t>
      </w:r>
    </w:p>
    <w:p w14:paraId="227065AB" w14:textId="77777777" w:rsidR="00DC6C4A" w:rsidRPr="00DC6C4A" w:rsidRDefault="00DC6C4A" w:rsidP="00DC6C4A">
      <w:pPr>
        <w:spacing w:before="120"/>
        <w:ind w:left="720"/>
        <w:jc w:val="both"/>
        <w:rPr>
          <w:sz w:val="24"/>
          <w:szCs w:val="24"/>
        </w:rPr>
      </w:pPr>
      <w:r w:rsidRPr="00DC6C4A">
        <w:rPr>
          <w:sz w:val="24"/>
          <w:szCs w:val="24"/>
        </w:rPr>
        <w:t xml:space="preserve">(1) the nature, extent, and difficulty of the work done by the attorney or other professional in the rate case; </w:t>
      </w:r>
    </w:p>
    <w:p w14:paraId="4CF91E39" w14:textId="77777777" w:rsidR="00DC6C4A" w:rsidRPr="00DC6C4A" w:rsidRDefault="00DC6C4A" w:rsidP="00DC6C4A">
      <w:pPr>
        <w:spacing w:before="120"/>
        <w:ind w:left="720"/>
        <w:jc w:val="both"/>
        <w:rPr>
          <w:sz w:val="24"/>
          <w:szCs w:val="24"/>
        </w:rPr>
      </w:pPr>
      <w:r w:rsidRPr="00DC6C4A">
        <w:rPr>
          <w:sz w:val="24"/>
          <w:szCs w:val="24"/>
        </w:rPr>
        <w:t xml:space="preserve">(2) the time and labor expended by the attorney or other professional; </w:t>
      </w:r>
    </w:p>
    <w:p w14:paraId="0C094707" w14:textId="77777777" w:rsidR="00DC6C4A" w:rsidRPr="00DC6C4A" w:rsidRDefault="00DC6C4A" w:rsidP="00DC6C4A">
      <w:pPr>
        <w:spacing w:before="120"/>
        <w:ind w:left="720"/>
        <w:jc w:val="both"/>
        <w:rPr>
          <w:sz w:val="24"/>
          <w:szCs w:val="24"/>
        </w:rPr>
      </w:pPr>
      <w:r w:rsidRPr="00DC6C4A">
        <w:rPr>
          <w:sz w:val="24"/>
          <w:szCs w:val="24"/>
        </w:rPr>
        <w:t xml:space="preserve">(3) the fees or other consideration paid to the attorney or other professional for the services rendered; </w:t>
      </w:r>
    </w:p>
    <w:p w14:paraId="5AF6949C" w14:textId="77777777" w:rsidR="00DC6C4A" w:rsidRPr="00DC6C4A" w:rsidRDefault="00DC6C4A" w:rsidP="00DC6C4A">
      <w:pPr>
        <w:spacing w:before="120"/>
        <w:ind w:left="720"/>
        <w:jc w:val="both"/>
        <w:rPr>
          <w:sz w:val="24"/>
          <w:szCs w:val="24"/>
        </w:rPr>
      </w:pPr>
      <w:r w:rsidRPr="00DC6C4A">
        <w:rPr>
          <w:sz w:val="24"/>
          <w:szCs w:val="24"/>
        </w:rPr>
        <w:t xml:space="preserve">(4) the expenses incurred for lodging, meals and beverages, transportation, or other services or materials; </w:t>
      </w:r>
    </w:p>
    <w:p w14:paraId="40AFFFEF" w14:textId="77777777" w:rsidR="00DC6C4A" w:rsidRPr="00DC6C4A" w:rsidRDefault="00DC6C4A" w:rsidP="00DC6C4A">
      <w:pPr>
        <w:spacing w:before="120"/>
        <w:ind w:left="1440"/>
        <w:jc w:val="both"/>
        <w:rPr>
          <w:sz w:val="24"/>
          <w:szCs w:val="24"/>
        </w:rPr>
      </w:pPr>
      <w:r w:rsidRPr="00DC6C4A">
        <w:rPr>
          <w:sz w:val="24"/>
          <w:szCs w:val="24"/>
        </w:rPr>
        <w:t xml:space="preserve">(5) the nature and scope of the rate case, including: </w:t>
      </w:r>
    </w:p>
    <w:p w14:paraId="3AFA56CE" w14:textId="77777777" w:rsidR="00DC6C4A" w:rsidRPr="00DC6C4A" w:rsidRDefault="00DC6C4A" w:rsidP="00DC6C4A">
      <w:pPr>
        <w:spacing w:before="120"/>
        <w:ind w:left="1440"/>
        <w:jc w:val="both"/>
        <w:rPr>
          <w:sz w:val="24"/>
          <w:szCs w:val="24"/>
        </w:rPr>
      </w:pPr>
      <w:r w:rsidRPr="00DC6C4A">
        <w:rPr>
          <w:sz w:val="24"/>
          <w:szCs w:val="24"/>
        </w:rPr>
        <w:t xml:space="preserve">(A) the size of the utility and number and type of consumers served; </w:t>
      </w:r>
    </w:p>
    <w:p w14:paraId="30E0F4A7" w14:textId="77777777" w:rsidR="00DC6C4A" w:rsidRPr="00DC6C4A" w:rsidRDefault="00DC6C4A" w:rsidP="00DC6C4A">
      <w:pPr>
        <w:spacing w:before="120"/>
        <w:ind w:left="1440"/>
        <w:jc w:val="both"/>
        <w:rPr>
          <w:sz w:val="24"/>
          <w:szCs w:val="24"/>
        </w:rPr>
      </w:pPr>
      <w:r w:rsidRPr="00DC6C4A">
        <w:rPr>
          <w:sz w:val="24"/>
          <w:szCs w:val="24"/>
        </w:rPr>
        <w:t xml:space="preserve">(B) the amount of money or value of property or interest at stake; </w:t>
      </w:r>
    </w:p>
    <w:p w14:paraId="41168003" w14:textId="77777777" w:rsidR="00DC6C4A" w:rsidRPr="00DC6C4A" w:rsidRDefault="00DC6C4A" w:rsidP="00DC6C4A">
      <w:pPr>
        <w:spacing w:before="120"/>
        <w:ind w:left="1440"/>
        <w:jc w:val="both"/>
        <w:rPr>
          <w:sz w:val="24"/>
          <w:szCs w:val="24"/>
        </w:rPr>
      </w:pPr>
      <w:r w:rsidRPr="00DC6C4A">
        <w:rPr>
          <w:sz w:val="24"/>
          <w:szCs w:val="24"/>
        </w:rPr>
        <w:t xml:space="preserve">(C) the novelty or complexity of the issues addressed; </w:t>
      </w:r>
    </w:p>
    <w:p w14:paraId="1739C8A9" w14:textId="77777777" w:rsidR="00DC6C4A" w:rsidRPr="00DC6C4A" w:rsidRDefault="00DC6C4A" w:rsidP="00DC6C4A">
      <w:pPr>
        <w:spacing w:before="120"/>
        <w:ind w:left="1440"/>
        <w:jc w:val="both"/>
        <w:rPr>
          <w:sz w:val="24"/>
          <w:szCs w:val="24"/>
        </w:rPr>
      </w:pPr>
      <w:r w:rsidRPr="00DC6C4A">
        <w:rPr>
          <w:sz w:val="24"/>
          <w:szCs w:val="24"/>
        </w:rPr>
        <w:t xml:space="preserve">(D) the amount and complexity of discovery; </w:t>
      </w:r>
    </w:p>
    <w:p w14:paraId="1ED3BF82" w14:textId="77777777" w:rsidR="00DC6C4A" w:rsidRPr="00DC6C4A" w:rsidRDefault="00DC6C4A" w:rsidP="00DC6C4A">
      <w:pPr>
        <w:spacing w:before="120"/>
        <w:ind w:left="1440"/>
        <w:jc w:val="both"/>
        <w:rPr>
          <w:sz w:val="24"/>
          <w:szCs w:val="24"/>
        </w:rPr>
      </w:pPr>
      <w:r w:rsidRPr="00DC6C4A">
        <w:rPr>
          <w:sz w:val="24"/>
          <w:szCs w:val="24"/>
        </w:rPr>
        <w:t xml:space="preserve">(E) the occurrence and length of a hearing; and </w:t>
      </w:r>
    </w:p>
    <w:p w14:paraId="3C6695F9" w14:textId="77777777" w:rsidR="00DC6C4A" w:rsidRPr="00DC6C4A" w:rsidRDefault="00DC6C4A" w:rsidP="00DC6C4A">
      <w:pPr>
        <w:spacing w:before="120"/>
        <w:ind w:left="720"/>
        <w:jc w:val="both"/>
        <w:rPr>
          <w:sz w:val="24"/>
          <w:szCs w:val="24"/>
        </w:rPr>
      </w:pPr>
      <w:r w:rsidRPr="00DC6C4A">
        <w:rPr>
          <w:sz w:val="24"/>
          <w:szCs w:val="24"/>
        </w:rPr>
        <w:t>(6) the specific issue or issues in the rate case and the amount of rate-case expenses reasonably associated with each issue.</w:t>
      </w:r>
    </w:p>
    <w:p w14:paraId="469450B1" w14:textId="77777777" w:rsidR="00DC6C4A" w:rsidRPr="00DC6C4A" w:rsidRDefault="00DC6C4A" w:rsidP="00DC6C4A">
      <w:pPr>
        <w:keepNext/>
        <w:spacing w:before="120"/>
        <w:jc w:val="both"/>
        <w:rPr>
          <w:sz w:val="24"/>
          <w:szCs w:val="24"/>
        </w:rPr>
      </w:pPr>
      <w:r w:rsidRPr="00DC6C4A">
        <w:rPr>
          <w:sz w:val="24"/>
          <w:szCs w:val="24"/>
        </w:rPr>
        <w:t>Further, the guiding standards of 16 TAC § 24.44 (c) indicate:</w:t>
      </w:r>
    </w:p>
    <w:p w14:paraId="42E86AF8" w14:textId="77777777" w:rsidR="00DC6C4A" w:rsidRPr="00DC6C4A" w:rsidRDefault="00DC6C4A" w:rsidP="00DC6C4A">
      <w:pPr>
        <w:spacing w:before="120"/>
        <w:rPr>
          <w:sz w:val="24"/>
          <w:szCs w:val="24"/>
        </w:rPr>
      </w:pPr>
      <w:r w:rsidRPr="00DC6C4A">
        <w:rPr>
          <w:sz w:val="24"/>
          <w:szCs w:val="24"/>
        </w:rPr>
        <w:t xml:space="preserve">(c) Criteria for review and determination of reasonableness. In determining the reasonableness of the rate case expenses, the commission must consider the relevant factors listed in subsection (b) of this section and any other factor shown to be relevant to the specific case. The commission must decide whether and the extent to which the evidence shows that: </w:t>
      </w:r>
    </w:p>
    <w:p w14:paraId="695C8FAC" w14:textId="77777777" w:rsidR="00DC6C4A" w:rsidRPr="00DC6C4A" w:rsidRDefault="00DC6C4A" w:rsidP="00DC6C4A">
      <w:pPr>
        <w:spacing w:before="120"/>
        <w:ind w:left="720" w:right="720"/>
        <w:rPr>
          <w:sz w:val="24"/>
          <w:szCs w:val="24"/>
        </w:rPr>
      </w:pPr>
      <w:r w:rsidRPr="00DC6C4A">
        <w:rPr>
          <w:sz w:val="24"/>
          <w:szCs w:val="24"/>
        </w:rPr>
        <w:t xml:space="preserve">(1) the fees paid, tasks performed, or time spent on a task were extreme or excessive; </w:t>
      </w:r>
    </w:p>
    <w:p w14:paraId="1F00A2B0" w14:textId="77777777" w:rsidR="00DC6C4A" w:rsidRPr="00DC6C4A" w:rsidRDefault="00DC6C4A" w:rsidP="00DC6C4A">
      <w:pPr>
        <w:spacing w:before="120"/>
        <w:ind w:left="720" w:right="720"/>
        <w:rPr>
          <w:sz w:val="24"/>
          <w:szCs w:val="24"/>
        </w:rPr>
      </w:pPr>
      <w:r w:rsidRPr="00DC6C4A">
        <w:rPr>
          <w:sz w:val="24"/>
          <w:szCs w:val="24"/>
        </w:rPr>
        <w:t xml:space="preserve">(2) the expenses incurred for lodging, meals and beverages, transportation, or other services or materials were extreme or excessive; </w:t>
      </w:r>
    </w:p>
    <w:p w14:paraId="766DEE4F" w14:textId="77777777" w:rsidR="00DC6C4A" w:rsidRPr="00DC6C4A" w:rsidRDefault="00DC6C4A" w:rsidP="00DC6C4A">
      <w:pPr>
        <w:spacing w:before="120"/>
        <w:ind w:left="720" w:right="720"/>
        <w:rPr>
          <w:sz w:val="24"/>
          <w:szCs w:val="24"/>
        </w:rPr>
      </w:pPr>
      <w:r w:rsidRPr="00DC6C4A">
        <w:rPr>
          <w:sz w:val="24"/>
          <w:szCs w:val="24"/>
        </w:rPr>
        <w:t xml:space="preserve">(3) there was duplication of services or testimony; </w:t>
      </w:r>
    </w:p>
    <w:p w14:paraId="725C4BA0" w14:textId="77777777" w:rsidR="00DC6C4A" w:rsidRPr="00DC6C4A" w:rsidRDefault="00DC6C4A" w:rsidP="00DC6C4A">
      <w:pPr>
        <w:spacing w:before="120"/>
        <w:ind w:left="720" w:right="720"/>
        <w:rPr>
          <w:sz w:val="24"/>
          <w:szCs w:val="24"/>
        </w:rPr>
      </w:pPr>
      <w:r w:rsidRPr="00DC6C4A">
        <w:rPr>
          <w:sz w:val="24"/>
          <w:szCs w:val="24"/>
        </w:rPr>
        <w:t xml:space="preserve">(4) the utility’s proposal on an issue in the rate case had no reasonable basis in law, policy, or fact and was not warranted by any reasonable argument for the extension, modification, or reversal of commission precedent; </w:t>
      </w:r>
    </w:p>
    <w:p w14:paraId="59CE2DF0" w14:textId="77777777" w:rsidR="00DC6C4A" w:rsidRPr="00DC6C4A" w:rsidRDefault="00DC6C4A" w:rsidP="00DC6C4A">
      <w:pPr>
        <w:spacing w:before="120"/>
        <w:ind w:left="720" w:right="720"/>
        <w:rPr>
          <w:sz w:val="24"/>
          <w:szCs w:val="24"/>
        </w:rPr>
      </w:pPr>
      <w:r w:rsidRPr="00DC6C4A">
        <w:rPr>
          <w:sz w:val="24"/>
          <w:szCs w:val="24"/>
        </w:rPr>
        <w:t xml:space="preserve">(5) rate-case expenses as a whole were disproportionate, excessive, or unwarranted in relation to the nature and scope of the rate case addressed by the evidence pursuant to subsection (b)(5) of this section; or </w:t>
      </w:r>
    </w:p>
    <w:p w14:paraId="55C530EB" w14:textId="77777777" w:rsidR="00DC6C4A" w:rsidRPr="00DC6C4A" w:rsidRDefault="00DC6C4A" w:rsidP="00DC6C4A">
      <w:pPr>
        <w:spacing w:before="120"/>
        <w:ind w:left="720" w:right="720"/>
        <w:rPr>
          <w:sz w:val="24"/>
          <w:szCs w:val="24"/>
        </w:rPr>
      </w:pPr>
      <w:r w:rsidRPr="00DC6C4A">
        <w:rPr>
          <w:sz w:val="24"/>
          <w:szCs w:val="24"/>
        </w:rPr>
        <w:t>(6) the utility failed to comply with the requirements for providing sufficient information pursuant to subsection (b) of this section.</w:t>
      </w:r>
    </w:p>
    <w:p w14:paraId="615CED11" w14:textId="0A72411D" w:rsidR="009370D6" w:rsidRPr="009370D6" w:rsidRDefault="001C4620" w:rsidP="00324F5C">
      <w:pPr>
        <w:tabs>
          <w:tab w:val="num" w:pos="720"/>
        </w:tabs>
        <w:spacing w:before="120"/>
        <w:jc w:val="both"/>
        <w:rPr>
          <w:sz w:val="24"/>
          <w:szCs w:val="24"/>
        </w:rPr>
      </w:pPr>
      <w:r>
        <w:rPr>
          <w:snapToGrid w:val="0"/>
          <w:sz w:val="24"/>
          <w:szCs w:val="24"/>
        </w:rPr>
        <w:lastRenderedPageBreak/>
        <w:t xml:space="preserve">I recommend that the Commission approve Crystal Clear’s recovery of $44,965 through a separate surcharge for its </w:t>
      </w:r>
      <w:r w:rsidR="003760D5">
        <w:rPr>
          <w:snapToGrid w:val="0"/>
          <w:sz w:val="24"/>
          <w:szCs w:val="24"/>
        </w:rPr>
        <w:t>reasonable</w:t>
      </w:r>
      <w:r>
        <w:rPr>
          <w:snapToGrid w:val="0"/>
          <w:sz w:val="24"/>
          <w:szCs w:val="24"/>
        </w:rPr>
        <w:t xml:space="preserve"> and necessary rate-case expenses incurred in this proceeding.  Additionally, </w:t>
      </w:r>
      <w:r w:rsidR="00CC77AC">
        <w:rPr>
          <w:snapToGrid w:val="0"/>
          <w:sz w:val="24"/>
          <w:szCs w:val="24"/>
        </w:rPr>
        <w:t>I recommend that the Commission require Crystal Clear to submit a surcharge collection update report every six months until the $44,965 is fully collected.  These update reports shall include supporting documentation showing the amounts of the surcharge collected by meter size along with remaining amounts due.</w:t>
      </w:r>
    </w:p>
    <w:p w14:paraId="51380DEA" w14:textId="2796A73A" w:rsidR="006B760F" w:rsidRPr="006B760F" w:rsidRDefault="006B760F" w:rsidP="00642041">
      <w:pPr>
        <w:keepNext/>
        <w:spacing w:before="120"/>
        <w:jc w:val="both"/>
        <w:rPr>
          <w:b/>
          <w:bCs/>
          <w:sz w:val="24"/>
          <w:szCs w:val="24"/>
        </w:rPr>
      </w:pPr>
      <w:r>
        <w:rPr>
          <w:b/>
          <w:bCs/>
          <w:sz w:val="24"/>
          <w:szCs w:val="24"/>
        </w:rPr>
        <w:t xml:space="preserve">Recommendation </w:t>
      </w:r>
    </w:p>
    <w:p w14:paraId="4AE2AA91" w14:textId="5452007A" w:rsidR="00870E82" w:rsidRDefault="00C1203F" w:rsidP="0073328A">
      <w:pPr>
        <w:spacing w:before="120"/>
        <w:jc w:val="both"/>
        <w:rPr>
          <w:sz w:val="24"/>
          <w:szCs w:val="24"/>
        </w:rPr>
      </w:pPr>
      <w:r>
        <w:rPr>
          <w:sz w:val="24"/>
          <w:szCs w:val="24"/>
        </w:rPr>
        <w:t>Having reviewed Crystal Clear’s application, responses to Requests for Information, and additional information filed subsequent to the Commission’s May 3, 2022 Order, I recommend that the Commission authorize Crystal Clear’s agreed</w:t>
      </w:r>
      <w:r w:rsidR="00F54445">
        <w:rPr>
          <w:sz w:val="24"/>
          <w:szCs w:val="24"/>
        </w:rPr>
        <w:t>-</w:t>
      </w:r>
      <w:r>
        <w:rPr>
          <w:sz w:val="24"/>
          <w:szCs w:val="24"/>
        </w:rPr>
        <w:t xml:space="preserve">upon revenue requirement for the reasons outlined in this memorandum.  </w:t>
      </w:r>
      <w:r w:rsidR="0054175F">
        <w:rPr>
          <w:sz w:val="24"/>
          <w:szCs w:val="24"/>
        </w:rPr>
        <w:t>Further</w:t>
      </w:r>
      <w:r w:rsidR="00870E82" w:rsidRPr="00B7537B">
        <w:rPr>
          <w:sz w:val="24"/>
          <w:szCs w:val="24"/>
        </w:rPr>
        <w:t xml:space="preserve"> I </w:t>
      </w:r>
      <w:r w:rsidR="00870E82">
        <w:rPr>
          <w:sz w:val="24"/>
          <w:szCs w:val="24"/>
        </w:rPr>
        <w:t xml:space="preserve">believe that </w:t>
      </w:r>
      <w:r w:rsidR="006F110C">
        <w:rPr>
          <w:sz w:val="24"/>
          <w:szCs w:val="24"/>
        </w:rPr>
        <w:t xml:space="preserve">the </w:t>
      </w:r>
      <w:r w:rsidR="00C73801">
        <w:rPr>
          <w:sz w:val="24"/>
          <w:szCs w:val="24"/>
        </w:rPr>
        <w:t xml:space="preserve">Second </w:t>
      </w:r>
      <w:r w:rsidR="006F110C">
        <w:rPr>
          <w:sz w:val="24"/>
          <w:szCs w:val="24"/>
        </w:rPr>
        <w:t xml:space="preserve">Revised Unanimous Stipulation and Settlement Agreement </w:t>
      </w:r>
      <w:r w:rsidR="00BC3D4D">
        <w:rPr>
          <w:sz w:val="24"/>
          <w:szCs w:val="24"/>
        </w:rPr>
        <w:t>is</w:t>
      </w:r>
      <w:r w:rsidR="0054175F">
        <w:rPr>
          <w:sz w:val="24"/>
          <w:szCs w:val="24"/>
        </w:rPr>
        <w:t xml:space="preserve"> a</w:t>
      </w:r>
      <w:r w:rsidR="00BC3D4D">
        <w:rPr>
          <w:sz w:val="24"/>
          <w:szCs w:val="24"/>
        </w:rPr>
        <w:t xml:space="preserve"> reasonable</w:t>
      </w:r>
      <w:r w:rsidR="0054175F">
        <w:rPr>
          <w:sz w:val="24"/>
          <w:szCs w:val="24"/>
        </w:rPr>
        <w:t xml:space="preserve"> compromise among parties</w:t>
      </w:r>
      <w:r w:rsidR="00BC3D4D">
        <w:rPr>
          <w:sz w:val="24"/>
          <w:szCs w:val="24"/>
        </w:rPr>
        <w:t xml:space="preserve"> </w:t>
      </w:r>
      <w:r w:rsidR="00164057">
        <w:rPr>
          <w:sz w:val="24"/>
          <w:szCs w:val="24"/>
        </w:rPr>
        <w:t xml:space="preserve">and </w:t>
      </w:r>
      <w:r w:rsidR="009D62F2">
        <w:rPr>
          <w:sz w:val="24"/>
          <w:szCs w:val="24"/>
        </w:rPr>
        <w:t>meets the requirements of</w:t>
      </w:r>
      <w:r w:rsidR="00082A12">
        <w:rPr>
          <w:sz w:val="24"/>
          <w:szCs w:val="24"/>
        </w:rPr>
        <w:t xml:space="preserve"> the </w:t>
      </w:r>
      <w:r w:rsidR="00BC3D4D">
        <w:rPr>
          <w:sz w:val="24"/>
          <w:szCs w:val="24"/>
        </w:rPr>
        <w:t xml:space="preserve">Texas Water Code and </w:t>
      </w:r>
      <w:r w:rsidR="00082A12">
        <w:rPr>
          <w:sz w:val="24"/>
          <w:szCs w:val="24"/>
        </w:rPr>
        <w:t>Commission’s rules</w:t>
      </w:r>
      <w:r w:rsidR="00164057">
        <w:rPr>
          <w:sz w:val="24"/>
          <w:szCs w:val="24"/>
        </w:rPr>
        <w:t>.  T</w:t>
      </w:r>
      <w:r w:rsidR="00082A12">
        <w:rPr>
          <w:sz w:val="24"/>
          <w:szCs w:val="24"/>
        </w:rPr>
        <w:t>herefore</w:t>
      </w:r>
      <w:r w:rsidR="00A714FB">
        <w:rPr>
          <w:sz w:val="24"/>
          <w:szCs w:val="24"/>
        </w:rPr>
        <w:t>,</w:t>
      </w:r>
      <w:r w:rsidR="00082A12">
        <w:rPr>
          <w:sz w:val="24"/>
          <w:szCs w:val="24"/>
        </w:rPr>
        <w:t xml:space="preserve"> I </w:t>
      </w:r>
      <w:r w:rsidR="00870E82" w:rsidRPr="00B7537B">
        <w:rPr>
          <w:sz w:val="24"/>
          <w:szCs w:val="24"/>
        </w:rPr>
        <w:t xml:space="preserve">recommend that the Commission approve </w:t>
      </w:r>
      <w:r w:rsidR="00BC3D4D">
        <w:rPr>
          <w:sz w:val="24"/>
          <w:szCs w:val="24"/>
        </w:rPr>
        <w:t>the Second Revised Unanimous Stipulation and Settlement Agreement</w:t>
      </w:r>
      <w:r w:rsidR="00870E82" w:rsidRPr="00B7537B">
        <w:rPr>
          <w:sz w:val="24"/>
          <w:szCs w:val="24"/>
        </w:rPr>
        <w:t>.</w:t>
      </w:r>
    </w:p>
    <w:sectPr w:rsidR="00870E82" w:rsidSect="00412EA3">
      <w:headerReference w:type="even" r:id="rId7"/>
      <w:headerReference w:type="default" r:id="rId8"/>
      <w:headerReference w:type="first" r:id="rId9"/>
      <w:footnotePr>
        <w:numRestart w:val="eachSect"/>
      </w:footnotePr>
      <w:pgSz w:w="12240" w:h="15840"/>
      <w:pgMar w:top="1440" w:right="1440" w:bottom="1152"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D3346" w14:textId="77777777" w:rsidR="000D07E6" w:rsidRDefault="000D07E6">
      <w:r>
        <w:separator/>
      </w:r>
    </w:p>
  </w:endnote>
  <w:endnote w:type="continuationSeparator" w:id="0">
    <w:p w14:paraId="0B446E78" w14:textId="77777777" w:rsidR="000D07E6" w:rsidRDefault="000D0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A8D67" w14:textId="77777777" w:rsidR="000D07E6" w:rsidRDefault="000D07E6">
      <w:r>
        <w:separator/>
      </w:r>
    </w:p>
  </w:footnote>
  <w:footnote w:type="continuationSeparator" w:id="0">
    <w:p w14:paraId="781B0668" w14:textId="77777777" w:rsidR="000D07E6" w:rsidRDefault="000D07E6">
      <w:r>
        <w:continuationSeparator/>
      </w:r>
    </w:p>
  </w:footnote>
  <w:footnote w:id="1">
    <w:p w14:paraId="40BD1CD8" w14:textId="2B82B474" w:rsidR="00D6031A" w:rsidRPr="00D6031A" w:rsidRDefault="00D6031A" w:rsidP="005C3F20">
      <w:pPr>
        <w:pStyle w:val="FootnoteText"/>
        <w:spacing w:after="120"/>
        <w:ind w:firstLine="720"/>
        <w:jc w:val="both"/>
      </w:pPr>
      <w:r>
        <w:rPr>
          <w:rStyle w:val="FootnoteReference"/>
        </w:rPr>
        <w:footnoteRef/>
      </w:r>
      <w:r>
        <w:t xml:space="preserve">  </w:t>
      </w:r>
      <w:r>
        <w:rPr>
          <w:i/>
          <w:iCs/>
        </w:rPr>
        <w:t>Crystal Clear Water</w:t>
      </w:r>
      <w:r w:rsidR="0025197A">
        <w:rPr>
          <w:i/>
          <w:iCs/>
        </w:rPr>
        <w:t>,</w:t>
      </w:r>
      <w:r>
        <w:rPr>
          <w:i/>
          <w:iCs/>
        </w:rPr>
        <w:t xml:space="preserve"> Inc.’s Response to Order Remanding to Docket Management and Motion to Admit Additional Evidence</w:t>
      </w:r>
      <w:r>
        <w:t xml:space="preserve"> at </w:t>
      </w:r>
      <w:r w:rsidR="00A16A74">
        <w:t>7</w:t>
      </w:r>
      <w:r>
        <w:t xml:space="preserve"> (Aug. 1, 2022).</w:t>
      </w:r>
    </w:p>
  </w:footnote>
  <w:footnote w:id="2">
    <w:p w14:paraId="3E11C3B7" w14:textId="4154F21E" w:rsidR="00A16A74" w:rsidRPr="000854B7" w:rsidRDefault="00A16A74" w:rsidP="005C3F20">
      <w:pPr>
        <w:pStyle w:val="FootnoteText"/>
        <w:spacing w:after="120"/>
        <w:ind w:firstLine="720"/>
        <w:jc w:val="both"/>
      </w:pPr>
      <w:r>
        <w:rPr>
          <w:rStyle w:val="FootnoteReference"/>
        </w:rPr>
        <w:footnoteRef/>
      </w:r>
      <w:r>
        <w:t xml:space="preserve"> </w:t>
      </w:r>
      <w:r w:rsidR="000854B7">
        <w:t xml:space="preserve"> </w:t>
      </w:r>
      <w:r w:rsidR="000854B7">
        <w:rPr>
          <w:i/>
          <w:iCs/>
        </w:rPr>
        <w:t>Id</w:t>
      </w:r>
      <w:r w:rsidR="000854B7">
        <w:t>. at 8.</w:t>
      </w:r>
    </w:p>
  </w:footnote>
  <w:footnote w:id="3">
    <w:p w14:paraId="12DF69F9" w14:textId="2772FFEB" w:rsidR="000854B7" w:rsidRPr="000854B7" w:rsidRDefault="000854B7" w:rsidP="005C3F20">
      <w:pPr>
        <w:pStyle w:val="FootnoteText"/>
        <w:spacing w:after="120"/>
        <w:ind w:firstLine="720"/>
        <w:jc w:val="both"/>
      </w:pPr>
      <w:r>
        <w:rPr>
          <w:rStyle w:val="FootnoteReference"/>
        </w:rPr>
        <w:footnoteRef/>
      </w:r>
      <w:r>
        <w:t xml:space="preserve">  </w:t>
      </w:r>
      <w:r>
        <w:rPr>
          <w:i/>
          <w:iCs/>
        </w:rPr>
        <w:t>Id</w:t>
      </w:r>
      <w:r>
        <w:t>.</w:t>
      </w:r>
    </w:p>
  </w:footnote>
  <w:footnote w:id="4">
    <w:p w14:paraId="4A9777A9" w14:textId="17F8F383" w:rsidR="00BE40A6" w:rsidRPr="00BE40A6" w:rsidRDefault="00BE40A6" w:rsidP="005C3F20">
      <w:pPr>
        <w:pStyle w:val="FootnoteText"/>
        <w:spacing w:after="120"/>
        <w:ind w:firstLine="720"/>
        <w:jc w:val="both"/>
      </w:pPr>
      <w:r>
        <w:rPr>
          <w:rStyle w:val="FootnoteReference"/>
        </w:rPr>
        <w:footnoteRef/>
      </w:r>
      <w:r>
        <w:t xml:space="preserve">  </w:t>
      </w:r>
      <w:r w:rsidR="002077B4">
        <w:rPr>
          <w:i/>
          <w:iCs/>
        </w:rPr>
        <w:t>Id</w:t>
      </w:r>
      <w:r w:rsidR="00D55921">
        <w:t>.</w:t>
      </w:r>
    </w:p>
  </w:footnote>
  <w:footnote w:id="5">
    <w:p w14:paraId="798A524B" w14:textId="7C389D00" w:rsidR="00A442A3" w:rsidRPr="00A442A3" w:rsidRDefault="00A442A3" w:rsidP="005C3F20">
      <w:pPr>
        <w:pStyle w:val="FootnoteText"/>
        <w:spacing w:after="120"/>
        <w:ind w:firstLine="720"/>
        <w:jc w:val="both"/>
      </w:pPr>
      <w:r>
        <w:rPr>
          <w:rStyle w:val="FootnoteReference"/>
        </w:rPr>
        <w:footnoteRef/>
      </w:r>
      <w:r>
        <w:t xml:space="preserve">  </w:t>
      </w:r>
      <w:r>
        <w:rPr>
          <w:i/>
          <w:iCs/>
        </w:rPr>
        <w:t>Id</w:t>
      </w:r>
      <w:r>
        <w:t>.</w:t>
      </w:r>
    </w:p>
  </w:footnote>
  <w:footnote w:id="6">
    <w:p w14:paraId="4E51273D" w14:textId="622D7310" w:rsidR="0036211C" w:rsidRPr="00A874E3" w:rsidRDefault="0036211C" w:rsidP="0036211C">
      <w:pPr>
        <w:pStyle w:val="FootnoteText"/>
        <w:spacing w:after="120"/>
        <w:ind w:firstLine="720"/>
        <w:jc w:val="both"/>
        <w:rPr>
          <w:i/>
          <w:iCs/>
        </w:rPr>
      </w:pPr>
      <w:r>
        <w:rPr>
          <w:rStyle w:val="FootnoteReference"/>
        </w:rPr>
        <w:footnoteRef/>
      </w:r>
      <w:r>
        <w:t xml:space="preserve">  </w:t>
      </w:r>
      <w:r>
        <w:rPr>
          <w:i/>
          <w:iCs/>
        </w:rPr>
        <w:t>Crystal Clear Water</w:t>
      </w:r>
      <w:r w:rsidR="0025197A">
        <w:rPr>
          <w:i/>
          <w:iCs/>
        </w:rPr>
        <w:t>,</w:t>
      </w:r>
      <w:r>
        <w:rPr>
          <w:i/>
          <w:iCs/>
        </w:rPr>
        <w:t xml:space="preserve"> Inc.’s Supplemental Response to Order Remanding to Docket Management, Motion to Admit Additional Evidence, and Motion for Extension of Time</w:t>
      </w:r>
      <w:r>
        <w:t xml:space="preserve"> at 6 and Exhibit D (Sep. 12, 2022).</w:t>
      </w:r>
    </w:p>
  </w:footnote>
  <w:footnote w:id="7">
    <w:p w14:paraId="1B966CB3" w14:textId="14D975F1" w:rsidR="00325107" w:rsidRDefault="00325107" w:rsidP="004918EA">
      <w:pPr>
        <w:pStyle w:val="FootnoteText"/>
        <w:spacing w:after="120"/>
        <w:ind w:firstLine="720"/>
        <w:jc w:val="both"/>
      </w:pPr>
      <w:r>
        <w:rPr>
          <w:rStyle w:val="FootnoteReference"/>
        </w:rPr>
        <w:footnoteRef/>
      </w:r>
      <w:r>
        <w:t xml:space="preserve">  </w:t>
      </w:r>
      <w:r w:rsidR="00D37137">
        <w:rPr>
          <w:i/>
          <w:iCs/>
        </w:rPr>
        <w:t>Crystal Clear Water, Inc.’s Response to Order Remanding to Docket Management and Motion to Admit Additional Evidence</w:t>
      </w:r>
      <w:r w:rsidR="00D37137">
        <w:t xml:space="preserve"> at 6 and Exhibit C (Aug. 1, 2022).</w:t>
      </w:r>
    </w:p>
  </w:footnote>
  <w:footnote w:id="8">
    <w:p w14:paraId="3EB30AA8" w14:textId="26935442" w:rsidR="004918EA" w:rsidRPr="004918EA" w:rsidRDefault="004918EA" w:rsidP="004918EA">
      <w:pPr>
        <w:pStyle w:val="FootnoteText"/>
        <w:spacing w:after="120"/>
        <w:ind w:firstLine="720"/>
        <w:jc w:val="both"/>
      </w:pPr>
      <w:r>
        <w:rPr>
          <w:rStyle w:val="FootnoteReference"/>
        </w:rPr>
        <w:footnoteRef/>
      </w:r>
      <w:r>
        <w:t xml:space="preserve">  </w:t>
      </w:r>
      <w:r w:rsidR="00DB56A7">
        <w:rPr>
          <w:i/>
          <w:iCs/>
        </w:rPr>
        <w:t>Id</w:t>
      </w:r>
      <w:r>
        <w:t>.</w:t>
      </w:r>
    </w:p>
  </w:footnote>
  <w:footnote w:id="9">
    <w:p w14:paraId="111CCD83" w14:textId="16A031CC" w:rsidR="009370D6" w:rsidRPr="009370D6" w:rsidRDefault="009370D6" w:rsidP="004918EA">
      <w:pPr>
        <w:pStyle w:val="FootnoteText"/>
        <w:spacing w:after="120"/>
        <w:ind w:firstLine="720"/>
        <w:jc w:val="both"/>
      </w:pPr>
      <w:r>
        <w:rPr>
          <w:rStyle w:val="FootnoteReference"/>
        </w:rPr>
        <w:footnoteRef/>
      </w:r>
      <w:r>
        <w:t xml:space="preserve">  </w:t>
      </w:r>
      <w:r w:rsidR="006B71CE">
        <w:rPr>
          <w:i/>
          <w:iCs/>
        </w:rPr>
        <w:t>Crystal Clear Water, Inc.’s Response to Order Remanding to Docket Management and Motion to Admit Additional Evidence</w:t>
      </w:r>
      <w:r w:rsidR="006B71CE">
        <w:t xml:space="preserve"> at 8</w:t>
      </w:r>
      <w:r w:rsidR="006F41B8">
        <w:t xml:space="preserve"> (Aug. 1, 2022)</w:t>
      </w:r>
      <w:r w:rsidR="00325107">
        <w:t>.</w:t>
      </w:r>
    </w:p>
  </w:footnote>
  <w:footnote w:id="10">
    <w:p w14:paraId="7DAE667B" w14:textId="28DFC484" w:rsidR="00691B2B" w:rsidRPr="00691B2B" w:rsidRDefault="00691B2B" w:rsidP="00473A99">
      <w:pPr>
        <w:pStyle w:val="FootnoteText"/>
        <w:spacing w:after="120"/>
        <w:ind w:firstLine="720"/>
        <w:jc w:val="both"/>
      </w:pPr>
      <w:r>
        <w:rPr>
          <w:rStyle w:val="FootnoteReference"/>
        </w:rPr>
        <w:footnoteRef/>
      </w:r>
      <w:r>
        <w:t xml:space="preserve">  </w:t>
      </w:r>
      <w:r>
        <w:rPr>
          <w:i/>
          <w:iCs/>
        </w:rPr>
        <w:t>Crystal Clear Water</w:t>
      </w:r>
      <w:r w:rsidR="0025197A">
        <w:rPr>
          <w:i/>
          <w:iCs/>
        </w:rPr>
        <w:t>,</w:t>
      </w:r>
      <w:r>
        <w:rPr>
          <w:i/>
          <w:iCs/>
        </w:rPr>
        <w:t xml:space="preserve"> Inc.’s Motion to Admit Evidence and Dismiss Intervenor</w:t>
      </w:r>
      <w:r>
        <w:t xml:space="preserve"> at Exhibit C (Mar. 1, 2023).</w:t>
      </w:r>
    </w:p>
  </w:footnote>
  <w:footnote w:id="11">
    <w:p w14:paraId="4A41560A" w14:textId="6288469E" w:rsidR="00473A99" w:rsidRPr="00473A99" w:rsidRDefault="00473A99" w:rsidP="00F65DF6">
      <w:pPr>
        <w:pStyle w:val="FootnoteText"/>
        <w:spacing w:after="120"/>
        <w:ind w:firstLine="720"/>
      </w:pPr>
      <w:r>
        <w:rPr>
          <w:rStyle w:val="FootnoteReference"/>
        </w:rPr>
        <w:footnoteRef/>
      </w:r>
      <w:r>
        <w:t xml:space="preserve">  </w:t>
      </w:r>
      <w:r>
        <w:rPr>
          <w:i/>
          <w:iCs/>
        </w:rPr>
        <w:t>Id</w:t>
      </w:r>
      <w:r>
        <w:t>.</w:t>
      </w:r>
    </w:p>
  </w:footnote>
  <w:footnote w:id="12">
    <w:p w14:paraId="020C6FF6" w14:textId="60668F94" w:rsidR="00CF4D80" w:rsidRPr="00CF4D80" w:rsidRDefault="00CF4D80" w:rsidP="005C703E">
      <w:pPr>
        <w:pStyle w:val="FootnoteText"/>
        <w:spacing w:after="120"/>
        <w:ind w:firstLine="720"/>
      </w:pPr>
      <w:r>
        <w:rPr>
          <w:rStyle w:val="FootnoteReference"/>
        </w:rPr>
        <w:footnoteRef/>
      </w:r>
      <w:r>
        <w:t xml:space="preserve">  </w:t>
      </w:r>
      <w:r>
        <w:rPr>
          <w:i/>
          <w:iCs/>
        </w:rPr>
        <w:t>Id</w:t>
      </w:r>
      <w:r>
        <w:t>.</w:t>
      </w:r>
    </w:p>
  </w:footnote>
  <w:footnote w:id="13">
    <w:p w14:paraId="5E4D192D" w14:textId="57B2EA4C" w:rsidR="00D92BEE" w:rsidRPr="00D92BEE" w:rsidRDefault="00D92BEE" w:rsidP="00D92BEE">
      <w:pPr>
        <w:pStyle w:val="FootnoteText"/>
        <w:spacing w:after="120"/>
        <w:ind w:firstLine="720"/>
        <w:rPr>
          <w:i/>
          <w:iCs/>
        </w:rPr>
      </w:pPr>
      <w:r>
        <w:rPr>
          <w:rStyle w:val="FootnoteReference"/>
        </w:rPr>
        <w:footnoteRef/>
      </w:r>
      <w:r>
        <w:t xml:space="preserve">  </w:t>
      </w:r>
      <w:r>
        <w:rPr>
          <w:i/>
          <w:iCs/>
        </w:rPr>
        <w:t>Id.</w:t>
      </w:r>
    </w:p>
  </w:footnote>
  <w:footnote w:id="14">
    <w:p w14:paraId="7AA73BBB" w14:textId="34DE6B10" w:rsidR="00D41C4A" w:rsidRPr="00D41C4A" w:rsidRDefault="00D41C4A" w:rsidP="00C00B5C">
      <w:pPr>
        <w:pStyle w:val="FootnoteText"/>
        <w:spacing w:after="120"/>
        <w:ind w:firstLine="720"/>
        <w:jc w:val="both"/>
      </w:pPr>
      <w:r>
        <w:rPr>
          <w:rStyle w:val="FootnoteReference"/>
        </w:rPr>
        <w:footnoteRef/>
      </w:r>
      <w:r>
        <w:t xml:space="preserve">  </w:t>
      </w:r>
      <w:r w:rsidR="00473A99">
        <w:rPr>
          <w:i/>
          <w:iCs/>
        </w:rPr>
        <w:t>Crystal Clear Water</w:t>
      </w:r>
      <w:r w:rsidR="001800C1">
        <w:rPr>
          <w:i/>
          <w:iCs/>
        </w:rPr>
        <w:t>,</w:t>
      </w:r>
      <w:r w:rsidR="00473A99">
        <w:rPr>
          <w:i/>
          <w:iCs/>
        </w:rPr>
        <w:t xml:space="preserve"> Inc.’s Supplemental Response to Order Remanding to Docket Management, Motion to Admit Additional Evidence, and Motion for Extension of Time</w:t>
      </w:r>
      <w:r w:rsidR="00473A99">
        <w:t xml:space="preserve"> at 6 (Sep. 12, 2022).</w:t>
      </w:r>
    </w:p>
  </w:footnote>
  <w:footnote w:id="15">
    <w:p w14:paraId="3F578973" w14:textId="53BE0254" w:rsidR="00C00B5C" w:rsidRDefault="00C00B5C" w:rsidP="00E83113">
      <w:pPr>
        <w:pStyle w:val="FootnoteText"/>
        <w:spacing w:after="120"/>
        <w:ind w:firstLine="720"/>
        <w:jc w:val="both"/>
      </w:pPr>
      <w:r>
        <w:rPr>
          <w:rStyle w:val="FootnoteReference"/>
        </w:rPr>
        <w:footnoteRef/>
      </w:r>
      <w:r>
        <w:t xml:space="preserve">  </w:t>
      </w:r>
      <w:r>
        <w:rPr>
          <w:i/>
          <w:iCs/>
        </w:rPr>
        <w:t>Crystal Clear Water</w:t>
      </w:r>
      <w:r w:rsidR="001800C1">
        <w:rPr>
          <w:i/>
          <w:iCs/>
        </w:rPr>
        <w:t>,</w:t>
      </w:r>
      <w:r>
        <w:rPr>
          <w:i/>
          <w:iCs/>
        </w:rPr>
        <w:t xml:space="preserve"> Inc.’s Motion to Admit Evidence and Dismiss Intervenor</w:t>
      </w:r>
      <w:r>
        <w:t xml:space="preserve"> at Exhibit B (Mar. 1, 2023).</w:t>
      </w:r>
    </w:p>
  </w:footnote>
  <w:footnote w:id="16">
    <w:p w14:paraId="34C0135B" w14:textId="6AA2E7B8" w:rsidR="00913FB3" w:rsidRPr="00462426" w:rsidRDefault="00E83113" w:rsidP="00913FB3">
      <w:pPr>
        <w:pStyle w:val="FootnoteText"/>
        <w:ind w:firstLine="720"/>
        <w:jc w:val="both"/>
      </w:pPr>
      <w:r>
        <w:rPr>
          <w:rStyle w:val="FootnoteReference"/>
        </w:rPr>
        <w:footnoteRef/>
      </w:r>
      <w:r>
        <w:t xml:space="preserve">  </w:t>
      </w:r>
      <w:r w:rsidRPr="00E83113">
        <w:rPr>
          <w:i/>
          <w:iCs/>
        </w:rPr>
        <w:t>Crystal Clear Water</w:t>
      </w:r>
      <w:r w:rsidR="001800C1">
        <w:rPr>
          <w:i/>
          <w:iCs/>
        </w:rPr>
        <w:t>,</w:t>
      </w:r>
      <w:r w:rsidRPr="00E83113">
        <w:rPr>
          <w:i/>
          <w:iCs/>
        </w:rPr>
        <w:t xml:space="preserve"> Inc.’s Response to the October 21, 2021 Commission Counsel Memorandum and Motion to Admit Evidence</w:t>
      </w:r>
      <w:r>
        <w:t xml:space="preserve"> at Exhibit B (Confidential) (Nov. 12, 2021); </w:t>
      </w:r>
      <w:r w:rsidRPr="00E83113">
        <w:rPr>
          <w:i/>
          <w:iCs/>
        </w:rPr>
        <w:t>Crystal Clear Water</w:t>
      </w:r>
      <w:r w:rsidR="001800C1">
        <w:rPr>
          <w:i/>
          <w:iCs/>
        </w:rPr>
        <w:t>,</w:t>
      </w:r>
      <w:r w:rsidRPr="00E83113">
        <w:rPr>
          <w:i/>
          <w:iCs/>
        </w:rPr>
        <w:t xml:space="preserve"> Inc.’s</w:t>
      </w:r>
      <w:r>
        <w:rPr>
          <w:i/>
          <w:iCs/>
        </w:rPr>
        <w:t xml:space="preserve"> Supplemental </w:t>
      </w:r>
      <w:r w:rsidRPr="00E83113">
        <w:rPr>
          <w:i/>
          <w:iCs/>
        </w:rPr>
        <w:t xml:space="preserve"> Response</w:t>
      </w:r>
      <w:r>
        <w:rPr>
          <w:i/>
          <w:iCs/>
        </w:rPr>
        <w:t xml:space="preserve"> to Order Remanding to Docket Management, Motion to Admit Additional Evidence, and Motion for Extension of Time</w:t>
      </w:r>
      <w:r>
        <w:t xml:space="preserve"> at Exhibit F (Confidential) (Sep. 12, 2022); </w:t>
      </w:r>
      <w:r w:rsidR="001800C1">
        <w:rPr>
          <w:i/>
          <w:iCs/>
        </w:rPr>
        <w:t xml:space="preserve">Crystal Clear Water, Inc.’s Motion to Admit Additional Evidence </w:t>
      </w:r>
      <w:r w:rsidR="00462426">
        <w:t xml:space="preserve">at Exhibit B (Confidential) (Nov. 22, 2022); and </w:t>
      </w:r>
      <w:r w:rsidR="00913FB3">
        <w:rPr>
          <w:i/>
          <w:iCs/>
        </w:rPr>
        <w:t xml:space="preserve">Crystal Clear Water, Inc.’s Motion to Admit Additional Evidence </w:t>
      </w:r>
      <w:r w:rsidR="00913FB3">
        <w:t xml:space="preserve">at Exhibit </w:t>
      </w:r>
      <w:r w:rsidR="00F119FB">
        <w:t>A</w:t>
      </w:r>
      <w:r w:rsidR="00913FB3">
        <w:t xml:space="preserve"> (Confidential) (</w:t>
      </w:r>
      <w:r w:rsidR="00F119FB">
        <w:t>Jan. 20, 2023</w:t>
      </w:r>
      <w:r w:rsidR="00913FB3">
        <w:t xml:space="preserve">). </w:t>
      </w:r>
    </w:p>
    <w:p w14:paraId="3436A33B" w14:textId="47B36B0E" w:rsidR="00E83113" w:rsidRPr="00462426" w:rsidRDefault="00E83113" w:rsidP="00E83113">
      <w:pPr>
        <w:pStyle w:val="FootnoteText"/>
        <w:ind w:firstLine="720"/>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72216" w14:textId="71F9E20E" w:rsidR="00AD1371" w:rsidRDefault="00AD1371">
    <w:pPr>
      <w:tabs>
        <w:tab w:val="right" w:pos="9360"/>
      </w:tabs>
      <w:spacing w:line="240" w:lineRule="exact"/>
      <w:jc w:val="both"/>
      <w:rPr>
        <w:rFonts w:ascii="Times" w:hAnsi="Times"/>
      </w:rPr>
    </w:pPr>
    <w:r>
      <w:rPr>
        <w:rFonts w:ascii="Times" w:hAnsi="Times"/>
      </w:rPr>
      <w:t>Denton Municipal Electric Utility – Interim Update of Transmission Cost of Service</w:t>
    </w:r>
    <w:r>
      <w:rPr>
        <w:rFonts w:ascii="Times" w:hAnsi="Times"/>
      </w:rPr>
      <w:tab/>
      <w:t>Page 2 of 2</w:t>
    </w:r>
  </w:p>
  <w:p w14:paraId="26F38EF8" w14:textId="1C288A85" w:rsidR="00AD1371" w:rsidRDefault="00AD1371">
    <w:pPr>
      <w:tabs>
        <w:tab w:val="right" w:pos="9360"/>
      </w:tabs>
      <w:spacing w:line="240" w:lineRule="exact"/>
      <w:jc w:val="both"/>
      <w:rPr>
        <w:rFonts w:ascii="Times" w:hAnsi="Times"/>
      </w:rPr>
    </w:pPr>
    <w:r>
      <w:rPr>
        <w:rFonts w:ascii="Times" w:hAnsi="Times"/>
      </w:rPr>
      <w:t>November 9, 2020</w:t>
    </w:r>
  </w:p>
  <w:p w14:paraId="68C085ED" w14:textId="77777777" w:rsidR="00AD1371" w:rsidRDefault="00AD1371">
    <w:pPr>
      <w:tabs>
        <w:tab w:val="right" w:pos="9360"/>
      </w:tabs>
      <w:spacing w:line="240" w:lineRule="exact"/>
      <w:jc w:val="both"/>
      <w:rPr>
        <w:rFonts w:ascii="Times" w:hAnsi="Times"/>
      </w:rPr>
    </w:pPr>
  </w:p>
  <w:p w14:paraId="3CDEBA07" w14:textId="77777777" w:rsidR="00AD1371" w:rsidRDefault="00AD1371">
    <w:pPr>
      <w:tabs>
        <w:tab w:val="right" w:pos="9360"/>
      </w:tabs>
      <w:spacing w:line="240" w:lineRule="exact"/>
      <w:jc w:val="both"/>
      <w:rPr>
        <w:rFonts w:ascii="Times" w:hAnsi="Tim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84F20" w14:textId="7147BFB1" w:rsidR="00AD1371" w:rsidRPr="003B7AC2" w:rsidRDefault="00E63562" w:rsidP="00B476FD">
    <w:pPr>
      <w:pStyle w:val="Header"/>
      <w:jc w:val="center"/>
      <w:rPr>
        <w:bCs/>
      </w:rPr>
    </w:pPr>
    <w:r w:rsidRPr="003B7AC2">
      <w:rPr>
        <w:bCs/>
      </w:rPr>
      <w:t>Docket No. 5</w:t>
    </w:r>
    <w:r w:rsidR="003B7AC2">
      <w:rPr>
        <w:bCs/>
      </w:rPr>
      <w:t>0721</w:t>
    </w:r>
    <w:r w:rsidRPr="003B7AC2">
      <w:rPr>
        <w:bCs/>
      </w:rPr>
      <w:tab/>
      <w:t xml:space="preserve">Memorandum of </w:t>
    </w:r>
    <w:r w:rsidR="003B7AC2">
      <w:rPr>
        <w:bCs/>
      </w:rPr>
      <w:t>Anna Givens</w:t>
    </w:r>
    <w:r w:rsidR="00D010C8" w:rsidRPr="003B7AC2">
      <w:rPr>
        <w:bCs/>
      </w:rPr>
      <w:t xml:space="preserve"> (</w:t>
    </w:r>
    <w:r w:rsidR="003B7AC2">
      <w:rPr>
        <w:bCs/>
      </w:rPr>
      <w:t xml:space="preserve">March </w:t>
    </w:r>
    <w:r w:rsidR="00BA2BFE">
      <w:rPr>
        <w:bCs/>
      </w:rPr>
      <w:t>8</w:t>
    </w:r>
    <w:r w:rsidR="003B7AC2">
      <w:rPr>
        <w:bCs/>
      </w:rPr>
      <w:t>, 2023</w:t>
    </w:r>
    <w:r w:rsidR="00D010C8" w:rsidRPr="003B7AC2">
      <w:rPr>
        <w:bCs/>
      </w:rPr>
      <w:t>)</w:t>
    </w:r>
    <w:r w:rsidR="00AD1371" w:rsidRPr="003B7AC2">
      <w:rPr>
        <w:bCs/>
      </w:rPr>
      <w:tab/>
      <w:t xml:space="preserve">Page </w:t>
    </w:r>
    <w:r w:rsidR="00AD1371" w:rsidRPr="003B7AC2">
      <w:rPr>
        <w:bCs/>
      </w:rPr>
      <w:fldChar w:fldCharType="begin"/>
    </w:r>
    <w:r w:rsidR="00AD1371" w:rsidRPr="003B7AC2">
      <w:rPr>
        <w:bCs/>
      </w:rPr>
      <w:instrText xml:space="preserve"> PAGE  \* Arabic  \* MERGEFORMAT </w:instrText>
    </w:r>
    <w:r w:rsidR="00AD1371" w:rsidRPr="003B7AC2">
      <w:rPr>
        <w:bCs/>
      </w:rPr>
      <w:fldChar w:fldCharType="separate"/>
    </w:r>
    <w:r w:rsidR="00384F02">
      <w:rPr>
        <w:bCs/>
        <w:noProof/>
      </w:rPr>
      <w:t>5</w:t>
    </w:r>
    <w:r w:rsidR="00AD1371" w:rsidRPr="003B7AC2">
      <w:rPr>
        <w:bCs/>
      </w:rPr>
      <w:fldChar w:fldCharType="end"/>
    </w:r>
    <w:r w:rsidR="00AD1371" w:rsidRPr="003B7AC2">
      <w:rPr>
        <w:bCs/>
      </w:rPr>
      <w:t xml:space="preserve"> of </w:t>
    </w:r>
    <w:r w:rsidR="00AD1371" w:rsidRPr="003B7AC2">
      <w:rPr>
        <w:bCs/>
      </w:rPr>
      <w:fldChar w:fldCharType="begin"/>
    </w:r>
    <w:r w:rsidR="00AD1371" w:rsidRPr="003B7AC2">
      <w:rPr>
        <w:bCs/>
      </w:rPr>
      <w:instrText xml:space="preserve"> NUMPAGES  \* Arabic  \* MERGEFORMAT </w:instrText>
    </w:r>
    <w:r w:rsidR="00AD1371" w:rsidRPr="003B7AC2">
      <w:rPr>
        <w:bCs/>
      </w:rPr>
      <w:fldChar w:fldCharType="separate"/>
    </w:r>
    <w:r w:rsidR="00384F02">
      <w:rPr>
        <w:bCs/>
        <w:noProof/>
      </w:rPr>
      <w:t>5</w:t>
    </w:r>
    <w:r w:rsidR="00AD1371" w:rsidRPr="003B7AC2">
      <w:rPr>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0E01D" w14:textId="77777777" w:rsidR="00AD1371" w:rsidRPr="005A4536" w:rsidRDefault="00AD1371">
    <w:pPr>
      <w:spacing w:line="360" w:lineRule="exact"/>
      <w:jc w:val="center"/>
      <w:rPr>
        <w:rFonts w:ascii="Times" w:hAnsi="Times"/>
        <w:b/>
        <w:i/>
        <w:sz w:val="38"/>
        <w:szCs w:val="38"/>
      </w:rPr>
    </w:pPr>
    <w:r w:rsidRPr="005A4536">
      <w:rPr>
        <w:rFonts w:ascii="Times" w:hAnsi="Times"/>
        <w:b/>
        <w:i/>
        <w:sz w:val="38"/>
        <w:szCs w:val="38"/>
      </w:rPr>
      <w:t>Public Utility Commission of Texas</w:t>
    </w:r>
  </w:p>
  <w:p w14:paraId="4F82A063" w14:textId="77777777" w:rsidR="00AD1371" w:rsidRPr="005A4536" w:rsidRDefault="00AD1371">
    <w:pPr>
      <w:spacing w:line="336" w:lineRule="exact"/>
      <w:jc w:val="center"/>
      <w:rPr>
        <w:rFonts w:ascii="Times" w:hAnsi="Times"/>
        <w:b/>
        <w:sz w:val="38"/>
        <w:szCs w:val="38"/>
        <w:u w:val="single"/>
      </w:rPr>
    </w:pPr>
  </w:p>
  <w:p w14:paraId="614FC683" w14:textId="77777777" w:rsidR="00AD1371" w:rsidRPr="005A4536" w:rsidRDefault="00AD1371">
    <w:pPr>
      <w:pBdr>
        <w:top w:val="single" w:sz="12" w:space="0" w:color="000000"/>
      </w:pBdr>
      <w:spacing w:line="240" w:lineRule="exact"/>
      <w:ind w:left="2160" w:right="2160"/>
      <w:jc w:val="center"/>
      <w:rPr>
        <w:rFonts w:ascii="Times" w:hAnsi="Times"/>
        <w:b/>
        <w:sz w:val="38"/>
        <w:szCs w:val="38"/>
        <w:u w:val="single"/>
      </w:rPr>
    </w:pPr>
  </w:p>
  <w:p w14:paraId="4C7F738B" w14:textId="77777777" w:rsidR="00AD1371" w:rsidRPr="005A4536" w:rsidRDefault="00AD1371">
    <w:pPr>
      <w:spacing w:line="300" w:lineRule="exact"/>
      <w:jc w:val="center"/>
      <w:rPr>
        <w:rFonts w:ascii="Times" w:hAnsi="Times"/>
        <w:b/>
        <w:sz w:val="38"/>
        <w:szCs w:val="38"/>
      </w:rPr>
    </w:pPr>
    <w:r w:rsidRPr="005A4536">
      <w:rPr>
        <w:rFonts w:ascii="Times" w:hAnsi="Times"/>
        <w:b/>
        <w:sz w:val="38"/>
        <w:szCs w:val="38"/>
      </w:rPr>
      <w:t>Memorandum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6AA"/>
    <w:rsid w:val="0000642F"/>
    <w:rsid w:val="0000709D"/>
    <w:rsid w:val="000105E3"/>
    <w:rsid w:val="0001239E"/>
    <w:rsid w:val="0001246F"/>
    <w:rsid w:val="000137CB"/>
    <w:rsid w:val="00015E29"/>
    <w:rsid w:val="000276C5"/>
    <w:rsid w:val="00030493"/>
    <w:rsid w:val="00031EF3"/>
    <w:rsid w:val="00032325"/>
    <w:rsid w:val="00045E55"/>
    <w:rsid w:val="00051984"/>
    <w:rsid w:val="000528A7"/>
    <w:rsid w:val="0006530B"/>
    <w:rsid w:val="000658ED"/>
    <w:rsid w:val="00066C8B"/>
    <w:rsid w:val="0006768C"/>
    <w:rsid w:val="000710A1"/>
    <w:rsid w:val="000720CC"/>
    <w:rsid w:val="00076CE5"/>
    <w:rsid w:val="0008176C"/>
    <w:rsid w:val="000828FB"/>
    <w:rsid w:val="00082A12"/>
    <w:rsid w:val="00084B3B"/>
    <w:rsid w:val="000854B7"/>
    <w:rsid w:val="00087256"/>
    <w:rsid w:val="00091FAD"/>
    <w:rsid w:val="00095D96"/>
    <w:rsid w:val="000961E0"/>
    <w:rsid w:val="000A00E4"/>
    <w:rsid w:val="000A28DF"/>
    <w:rsid w:val="000A28F2"/>
    <w:rsid w:val="000A3712"/>
    <w:rsid w:val="000A57DC"/>
    <w:rsid w:val="000A7DF7"/>
    <w:rsid w:val="000B7862"/>
    <w:rsid w:val="000C26E1"/>
    <w:rsid w:val="000D07E6"/>
    <w:rsid w:val="000E50E8"/>
    <w:rsid w:val="000F4511"/>
    <w:rsid w:val="000F4A83"/>
    <w:rsid w:val="000F5231"/>
    <w:rsid w:val="000F68C1"/>
    <w:rsid w:val="000F7F8A"/>
    <w:rsid w:val="0010036C"/>
    <w:rsid w:val="00102394"/>
    <w:rsid w:val="00104A5A"/>
    <w:rsid w:val="00105DC3"/>
    <w:rsid w:val="00105E06"/>
    <w:rsid w:val="0012176A"/>
    <w:rsid w:val="00127E1A"/>
    <w:rsid w:val="001358A7"/>
    <w:rsid w:val="00140CA3"/>
    <w:rsid w:val="00141E60"/>
    <w:rsid w:val="001420B6"/>
    <w:rsid w:val="0014269D"/>
    <w:rsid w:val="00152DCC"/>
    <w:rsid w:val="001545FF"/>
    <w:rsid w:val="001627AB"/>
    <w:rsid w:val="001636C6"/>
    <w:rsid w:val="00164057"/>
    <w:rsid w:val="00167470"/>
    <w:rsid w:val="0017609C"/>
    <w:rsid w:val="00177514"/>
    <w:rsid w:val="001800C1"/>
    <w:rsid w:val="00196231"/>
    <w:rsid w:val="001A6947"/>
    <w:rsid w:val="001A78FA"/>
    <w:rsid w:val="001C1713"/>
    <w:rsid w:val="001C20B9"/>
    <w:rsid w:val="001C4620"/>
    <w:rsid w:val="001D649F"/>
    <w:rsid w:val="001E09E3"/>
    <w:rsid w:val="001E59F2"/>
    <w:rsid w:val="001E7D78"/>
    <w:rsid w:val="001F70FC"/>
    <w:rsid w:val="001F77C6"/>
    <w:rsid w:val="001F77F7"/>
    <w:rsid w:val="00200A8A"/>
    <w:rsid w:val="002017FE"/>
    <w:rsid w:val="002077B4"/>
    <w:rsid w:val="00212F95"/>
    <w:rsid w:val="002136E0"/>
    <w:rsid w:val="00214696"/>
    <w:rsid w:val="00216381"/>
    <w:rsid w:val="00220127"/>
    <w:rsid w:val="0022412A"/>
    <w:rsid w:val="00225DFF"/>
    <w:rsid w:val="00231242"/>
    <w:rsid w:val="00241895"/>
    <w:rsid w:val="00241D1A"/>
    <w:rsid w:val="00251444"/>
    <w:rsid w:val="0025197A"/>
    <w:rsid w:val="00251F03"/>
    <w:rsid w:val="00252D20"/>
    <w:rsid w:val="00253615"/>
    <w:rsid w:val="0027477D"/>
    <w:rsid w:val="00283E2A"/>
    <w:rsid w:val="002844C9"/>
    <w:rsid w:val="00286905"/>
    <w:rsid w:val="00287F07"/>
    <w:rsid w:val="00293E90"/>
    <w:rsid w:val="002955A3"/>
    <w:rsid w:val="002A1600"/>
    <w:rsid w:val="002A3B52"/>
    <w:rsid w:val="002A43DD"/>
    <w:rsid w:val="002A5886"/>
    <w:rsid w:val="002A5A4B"/>
    <w:rsid w:val="002B0866"/>
    <w:rsid w:val="002B33AA"/>
    <w:rsid w:val="002B3A37"/>
    <w:rsid w:val="002B4EB2"/>
    <w:rsid w:val="002B7008"/>
    <w:rsid w:val="002B7EB3"/>
    <w:rsid w:val="002C1312"/>
    <w:rsid w:val="002C397E"/>
    <w:rsid w:val="002C4985"/>
    <w:rsid w:val="002C59E2"/>
    <w:rsid w:val="002C7827"/>
    <w:rsid w:val="002D4E7B"/>
    <w:rsid w:val="002E002E"/>
    <w:rsid w:val="002E5600"/>
    <w:rsid w:val="00312923"/>
    <w:rsid w:val="003141FE"/>
    <w:rsid w:val="00324F5C"/>
    <w:rsid w:val="00325107"/>
    <w:rsid w:val="00325849"/>
    <w:rsid w:val="00325A9E"/>
    <w:rsid w:val="00332109"/>
    <w:rsid w:val="00332171"/>
    <w:rsid w:val="00332739"/>
    <w:rsid w:val="003349A4"/>
    <w:rsid w:val="003367C3"/>
    <w:rsid w:val="00337E6A"/>
    <w:rsid w:val="003451B4"/>
    <w:rsid w:val="003456D3"/>
    <w:rsid w:val="00345771"/>
    <w:rsid w:val="00346852"/>
    <w:rsid w:val="00352378"/>
    <w:rsid w:val="0035289D"/>
    <w:rsid w:val="00355F65"/>
    <w:rsid w:val="003619B0"/>
    <w:rsid w:val="0036211C"/>
    <w:rsid w:val="003666FB"/>
    <w:rsid w:val="0036674F"/>
    <w:rsid w:val="00373BEB"/>
    <w:rsid w:val="00374E5F"/>
    <w:rsid w:val="0037547F"/>
    <w:rsid w:val="00375F7A"/>
    <w:rsid w:val="003760D5"/>
    <w:rsid w:val="00376606"/>
    <w:rsid w:val="00377412"/>
    <w:rsid w:val="003816BE"/>
    <w:rsid w:val="00384F02"/>
    <w:rsid w:val="0038575F"/>
    <w:rsid w:val="00390D46"/>
    <w:rsid w:val="00394619"/>
    <w:rsid w:val="003A163A"/>
    <w:rsid w:val="003B3BA4"/>
    <w:rsid w:val="003B7AC2"/>
    <w:rsid w:val="003C0B92"/>
    <w:rsid w:val="003C2B26"/>
    <w:rsid w:val="003C2C1E"/>
    <w:rsid w:val="003C38B1"/>
    <w:rsid w:val="003D0CC6"/>
    <w:rsid w:val="003D2C7E"/>
    <w:rsid w:val="003D5F20"/>
    <w:rsid w:val="003D631B"/>
    <w:rsid w:val="003E1E6A"/>
    <w:rsid w:val="003E252A"/>
    <w:rsid w:val="003E2EFB"/>
    <w:rsid w:val="003F3559"/>
    <w:rsid w:val="003F4ED0"/>
    <w:rsid w:val="00404ACA"/>
    <w:rsid w:val="00412EA3"/>
    <w:rsid w:val="004168E2"/>
    <w:rsid w:val="0042131D"/>
    <w:rsid w:val="00422B98"/>
    <w:rsid w:val="00426E80"/>
    <w:rsid w:val="0043269E"/>
    <w:rsid w:val="0043473A"/>
    <w:rsid w:val="00441B56"/>
    <w:rsid w:val="0044441F"/>
    <w:rsid w:val="00462426"/>
    <w:rsid w:val="0046254F"/>
    <w:rsid w:val="00463153"/>
    <w:rsid w:val="0047103E"/>
    <w:rsid w:val="00473A99"/>
    <w:rsid w:val="00474CC8"/>
    <w:rsid w:val="004762AF"/>
    <w:rsid w:val="0048249D"/>
    <w:rsid w:val="00483B6A"/>
    <w:rsid w:val="00486F3B"/>
    <w:rsid w:val="004918EA"/>
    <w:rsid w:val="0049525D"/>
    <w:rsid w:val="004959FE"/>
    <w:rsid w:val="00496275"/>
    <w:rsid w:val="00497671"/>
    <w:rsid w:val="004A3927"/>
    <w:rsid w:val="004A5179"/>
    <w:rsid w:val="004B0D29"/>
    <w:rsid w:val="004B1FB0"/>
    <w:rsid w:val="004B3927"/>
    <w:rsid w:val="004B4F0D"/>
    <w:rsid w:val="004B7597"/>
    <w:rsid w:val="004C47E5"/>
    <w:rsid w:val="004C4F1F"/>
    <w:rsid w:val="004D1A7B"/>
    <w:rsid w:val="004D1A7D"/>
    <w:rsid w:val="004E4678"/>
    <w:rsid w:val="004E547B"/>
    <w:rsid w:val="0050506F"/>
    <w:rsid w:val="0051084A"/>
    <w:rsid w:val="00510F9B"/>
    <w:rsid w:val="00524311"/>
    <w:rsid w:val="0052533D"/>
    <w:rsid w:val="00533747"/>
    <w:rsid w:val="00536529"/>
    <w:rsid w:val="00537D94"/>
    <w:rsid w:val="0054175F"/>
    <w:rsid w:val="00545D58"/>
    <w:rsid w:val="00551492"/>
    <w:rsid w:val="005526B2"/>
    <w:rsid w:val="0055682E"/>
    <w:rsid w:val="00561FC4"/>
    <w:rsid w:val="00562238"/>
    <w:rsid w:val="005673D7"/>
    <w:rsid w:val="0057612E"/>
    <w:rsid w:val="005831F4"/>
    <w:rsid w:val="00583FB5"/>
    <w:rsid w:val="00594852"/>
    <w:rsid w:val="00596279"/>
    <w:rsid w:val="00596734"/>
    <w:rsid w:val="005A2D81"/>
    <w:rsid w:val="005A3CEE"/>
    <w:rsid w:val="005A4536"/>
    <w:rsid w:val="005B029E"/>
    <w:rsid w:val="005B0709"/>
    <w:rsid w:val="005B6767"/>
    <w:rsid w:val="005C03B8"/>
    <w:rsid w:val="005C3F20"/>
    <w:rsid w:val="005C693C"/>
    <w:rsid w:val="005C703E"/>
    <w:rsid w:val="005D1707"/>
    <w:rsid w:val="005D2801"/>
    <w:rsid w:val="005D2AF0"/>
    <w:rsid w:val="005D5C85"/>
    <w:rsid w:val="005E00A7"/>
    <w:rsid w:val="005E0FEC"/>
    <w:rsid w:val="005E325E"/>
    <w:rsid w:val="005E4EC3"/>
    <w:rsid w:val="006052CF"/>
    <w:rsid w:val="00606B54"/>
    <w:rsid w:val="0062586E"/>
    <w:rsid w:val="0063735E"/>
    <w:rsid w:val="00642041"/>
    <w:rsid w:val="00644344"/>
    <w:rsid w:val="0065355E"/>
    <w:rsid w:val="00655401"/>
    <w:rsid w:val="006578E5"/>
    <w:rsid w:val="00662501"/>
    <w:rsid w:val="00663711"/>
    <w:rsid w:val="00675F93"/>
    <w:rsid w:val="0068295F"/>
    <w:rsid w:val="006868BD"/>
    <w:rsid w:val="006878B3"/>
    <w:rsid w:val="006878CA"/>
    <w:rsid w:val="00687946"/>
    <w:rsid w:val="00691B2B"/>
    <w:rsid w:val="00691E5D"/>
    <w:rsid w:val="0069425B"/>
    <w:rsid w:val="00696910"/>
    <w:rsid w:val="006978B7"/>
    <w:rsid w:val="006A1C94"/>
    <w:rsid w:val="006A2300"/>
    <w:rsid w:val="006A6DD5"/>
    <w:rsid w:val="006A783D"/>
    <w:rsid w:val="006B3D7D"/>
    <w:rsid w:val="006B442D"/>
    <w:rsid w:val="006B71CE"/>
    <w:rsid w:val="006B760F"/>
    <w:rsid w:val="006C5169"/>
    <w:rsid w:val="006C7E84"/>
    <w:rsid w:val="006E0869"/>
    <w:rsid w:val="006E2F3A"/>
    <w:rsid w:val="006E7E92"/>
    <w:rsid w:val="006F0D0F"/>
    <w:rsid w:val="006F110C"/>
    <w:rsid w:val="006F41B8"/>
    <w:rsid w:val="00702CEE"/>
    <w:rsid w:val="00704553"/>
    <w:rsid w:val="00712B9F"/>
    <w:rsid w:val="00727BA6"/>
    <w:rsid w:val="00727D32"/>
    <w:rsid w:val="007324AF"/>
    <w:rsid w:val="0073328A"/>
    <w:rsid w:val="00733383"/>
    <w:rsid w:val="007364D5"/>
    <w:rsid w:val="007406FD"/>
    <w:rsid w:val="00741847"/>
    <w:rsid w:val="00744F29"/>
    <w:rsid w:val="00747923"/>
    <w:rsid w:val="007544F0"/>
    <w:rsid w:val="00756466"/>
    <w:rsid w:val="00765DEB"/>
    <w:rsid w:val="007802B8"/>
    <w:rsid w:val="007808A5"/>
    <w:rsid w:val="00784E19"/>
    <w:rsid w:val="00791849"/>
    <w:rsid w:val="00791A85"/>
    <w:rsid w:val="00793C31"/>
    <w:rsid w:val="0079412D"/>
    <w:rsid w:val="007A0A16"/>
    <w:rsid w:val="007A3D55"/>
    <w:rsid w:val="007A53CF"/>
    <w:rsid w:val="007A66A8"/>
    <w:rsid w:val="007B18EA"/>
    <w:rsid w:val="007B3600"/>
    <w:rsid w:val="007B5CBC"/>
    <w:rsid w:val="007C6C49"/>
    <w:rsid w:val="007C767A"/>
    <w:rsid w:val="007D2FBE"/>
    <w:rsid w:val="007D567B"/>
    <w:rsid w:val="007E27D2"/>
    <w:rsid w:val="007E43AF"/>
    <w:rsid w:val="007E6152"/>
    <w:rsid w:val="007F7DE7"/>
    <w:rsid w:val="008055FF"/>
    <w:rsid w:val="008102A9"/>
    <w:rsid w:val="00813FA0"/>
    <w:rsid w:val="00814AC4"/>
    <w:rsid w:val="0082091E"/>
    <w:rsid w:val="0082222E"/>
    <w:rsid w:val="00826FFF"/>
    <w:rsid w:val="00833BA4"/>
    <w:rsid w:val="008415CF"/>
    <w:rsid w:val="00844419"/>
    <w:rsid w:val="00845A3D"/>
    <w:rsid w:val="0084782A"/>
    <w:rsid w:val="00851D82"/>
    <w:rsid w:val="00852B60"/>
    <w:rsid w:val="008606CE"/>
    <w:rsid w:val="00867E68"/>
    <w:rsid w:val="00870E82"/>
    <w:rsid w:val="00874B9B"/>
    <w:rsid w:val="00875007"/>
    <w:rsid w:val="00890243"/>
    <w:rsid w:val="008933ED"/>
    <w:rsid w:val="008A21D0"/>
    <w:rsid w:val="008B4E2C"/>
    <w:rsid w:val="008C35D4"/>
    <w:rsid w:val="008C5CFD"/>
    <w:rsid w:val="008D1660"/>
    <w:rsid w:val="008E1256"/>
    <w:rsid w:val="008E4284"/>
    <w:rsid w:val="008E5108"/>
    <w:rsid w:val="008F72B9"/>
    <w:rsid w:val="00905023"/>
    <w:rsid w:val="00905D79"/>
    <w:rsid w:val="00911BF8"/>
    <w:rsid w:val="00912AEE"/>
    <w:rsid w:val="00913FB3"/>
    <w:rsid w:val="00920E1F"/>
    <w:rsid w:val="009217BA"/>
    <w:rsid w:val="0092661A"/>
    <w:rsid w:val="009353C0"/>
    <w:rsid w:val="009370D6"/>
    <w:rsid w:val="0095459D"/>
    <w:rsid w:val="009546EC"/>
    <w:rsid w:val="00956032"/>
    <w:rsid w:val="0096111E"/>
    <w:rsid w:val="00965BFE"/>
    <w:rsid w:val="00965F21"/>
    <w:rsid w:val="00971F4E"/>
    <w:rsid w:val="00976487"/>
    <w:rsid w:val="0097695A"/>
    <w:rsid w:val="00977C97"/>
    <w:rsid w:val="009828A1"/>
    <w:rsid w:val="0098550F"/>
    <w:rsid w:val="009A2022"/>
    <w:rsid w:val="009A4E28"/>
    <w:rsid w:val="009B2395"/>
    <w:rsid w:val="009B3E61"/>
    <w:rsid w:val="009B4227"/>
    <w:rsid w:val="009B5189"/>
    <w:rsid w:val="009D60B0"/>
    <w:rsid w:val="009D62F2"/>
    <w:rsid w:val="009D7665"/>
    <w:rsid w:val="009E1354"/>
    <w:rsid w:val="009E1388"/>
    <w:rsid w:val="009E1921"/>
    <w:rsid w:val="009E275A"/>
    <w:rsid w:val="009E4B95"/>
    <w:rsid w:val="009E5A49"/>
    <w:rsid w:val="009E6007"/>
    <w:rsid w:val="00A00C8A"/>
    <w:rsid w:val="00A0506A"/>
    <w:rsid w:val="00A07DD1"/>
    <w:rsid w:val="00A108D8"/>
    <w:rsid w:val="00A10F39"/>
    <w:rsid w:val="00A125C9"/>
    <w:rsid w:val="00A16A74"/>
    <w:rsid w:val="00A213F2"/>
    <w:rsid w:val="00A2797D"/>
    <w:rsid w:val="00A3063E"/>
    <w:rsid w:val="00A3379E"/>
    <w:rsid w:val="00A36334"/>
    <w:rsid w:val="00A403A0"/>
    <w:rsid w:val="00A40899"/>
    <w:rsid w:val="00A40B36"/>
    <w:rsid w:val="00A40BE8"/>
    <w:rsid w:val="00A442A3"/>
    <w:rsid w:val="00A4576F"/>
    <w:rsid w:val="00A51131"/>
    <w:rsid w:val="00A5469B"/>
    <w:rsid w:val="00A623B2"/>
    <w:rsid w:val="00A714FB"/>
    <w:rsid w:val="00A71FE9"/>
    <w:rsid w:val="00A72B3B"/>
    <w:rsid w:val="00A74DF9"/>
    <w:rsid w:val="00A76A68"/>
    <w:rsid w:val="00A77106"/>
    <w:rsid w:val="00A77F1C"/>
    <w:rsid w:val="00A81074"/>
    <w:rsid w:val="00A874E3"/>
    <w:rsid w:val="00A91EF2"/>
    <w:rsid w:val="00A94670"/>
    <w:rsid w:val="00A969E8"/>
    <w:rsid w:val="00AA16DC"/>
    <w:rsid w:val="00AA17BC"/>
    <w:rsid w:val="00AA5F28"/>
    <w:rsid w:val="00AA6092"/>
    <w:rsid w:val="00AB2D03"/>
    <w:rsid w:val="00AB6FD0"/>
    <w:rsid w:val="00AC0597"/>
    <w:rsid w:val="00AC3414"/>
    <w:rsid w:val="00AC58CC"/>
    <w:rsid w:val="00AD1371"/>
    <w:rsid w:val="00AD25B8"/>
    <w:rsid w:val="00AE2DDB"/>
    <w:rsid w:val="00AE631A"/>
    <w:rsid w:val="00AE7279"/>
    <w:rsid w:val="00AF2AB4"/>
    <w:rsid w:val="00AF34CC"/>
    <w:rsid w:val="00AF6753"/>
    <w:rsid w:val="00AF7D74"/>
    <w:rsid w:val="00B06513"/>
    <w:rsid w:val="00B122A2"/>
    <w:rsid w:val="00B140A3"/>
    <w:rsid w:val="00B1719D"/>
    <w:rsid w:val="00B244B3"/>
    <w:rsid w:val="00B27545"/>
    <w:rsid w:val="00B31AC5"/>
    <w:rsid w:val="00B357D8"/>
    <w:rsid w:val="00B36BC4"/>
    <w:rsid w:val="00B46139"/>
    <w:rsid w:val="00B467C5"/>
    <w:rsid w:val="00B476FD"/>
    <w:rsid w:val="00B51084"/>
    <w:rsid w:val="00B53A79"/>
    <w:rsid w:val="00B56631"/>
    <w:rsid w:val="00B62F9B"/>
    <w:rsid w:val="00B706A4"/>
    <w:rsid w:val="00B70E28"/>
    <w:rsid w:val="00B72DBB"/>
    <w:rsid w:val="00B742CA"/>
    <w:rsid w:val="00B74898"/>
    <w:rsid w:val="00B7537B"/>
    <w:rsid w:val="00B760D0"/>
    <w:rsid w:val="00B764D3"/>
    <w:rsid w:val="00B81C72"/>
    <w:rsid w:val="00B82112"/>
    <w:rsid w:val="00B86A65"/>
    <w:rsid w:val="00B902F0"/>
    <w:rsid w:val="00BA0985"/>
    <w:rsid w:val="00BA1EE4"/>
    <w:rsid w:val="00BA2BFE"/>
    <w:rsid w:val="00BA790B"/>
    <w:rsid w:val="00BB1983"/>
    <w:rsid w:val="00BB1D39"/>
    <w:rsid w:val="00BB37E0"/>
    <w:rsid w:val="00BC3C26"/>
    <w:rsid w:val="00BC3D4D"/>
    <w:rsid w:val="00BC457C"/>
    <w:rsid w:val="00BD218A"/>
    <w:rsid w:val="00BD43A8"/>
    <w:rsid w:val="00BD6762"/>
    <w:rsid w:val="00BE26AA"/>
    <w:rsid w:val="00BE40A6"/>
    <w:rsid w:val="00BE576D"/>
    <w:rsid w:val="00BE60E9"/>
    <w:rsid w:val="00BE75AE"/>
    <w:rsid w:val="00BF1792"/>
    <w:rsid w:val="00BF40C9"/>
    <w:rsid w:val="00BF477D"/>
    <w:rsid w:val="00BF4F98"/>
    <w:rsid w:val="00C00B5C"/>
    <w:rsid w:val="00C0737E"/>
    <w:rsid w:val="00C1203F"/>
    <w:rsid w:val="00C12C12"/>
    <w:rsid w:val="00C226A1"/>
    <w:rsid w:val="00C24A75"/>
    <w:rsid w:val="00C277A1"/>
    <w:rsid w:val="00C27958"/>
    <w:rsid w:val="00C34976"/>
    <w:rsid w:val="00C37720"/>
    <w:rsid w:val="00C46B66"/>
    <w:rsid w:val="00C60BCC"/>
    <w:rsid w:val="00C61AF7"/>
    <w:rsid w:val="00C63DB2"/>
    <w:rsid w:val="00C65467"/>
    <w:rsid w:val="00C658A3"/>
    <w:rsid w:val="00C67418"/>
    <w:rsid w:val="00C73801"/>
    <w:rsid w:val="00C8298C"/>
    <w:rsid w:val="00C86589"/>
    <w:rsid w:val="00C8751D"/>
    <w:rsid w:val="00CA113D"/>
    <w:rsid w:val="00CA1F74"/>
    <w:rsid w:val="00CA4BC8"/>
    <w:rsid w:val="00CB1FDA"/>
    <w:rsid w:val="00CB4CDE"/>
    <w:rsid w:val="00CB6643"/>
    <w:rsid w:val="00CC373A"/>
    <w:rsid w:val="00CC4EFB"/>
    <w:rsid w:val="00CC5F24"/>
    <w:rsid w:val="00CC77AC"/>
    <w:rsid w:val="00CD3079"/>
    <w:rsid w:val="00CE19DA"/>
    <w:rsid w:val="00CE4796"/>
    <w:rsid w:val="00CF0805"/>
    <w:rsid w:val="00CF173B"/>
    <w:rsid w:val="00CF4D80"/>
    <w:rsid w:val="00CF4DBD"/>
    <w:rsid w:val="00CF554C"/>
    <w:rsid w:val="00D00FE6"/>
    <w:rsid w:val="00D010C8"/>
    <w:rsid w:val="00D01D76"/>
    <w:rsid w:val="00D130AC"/>
    <w:rsid w:val="00D13D84"/>
    <w:rsid w:val="00D1773B"/>
    <w:rsid w:val="00D20955"/>
    <w:rsid w:val="00D246B9"/>
    <w:rsid w:val="00D26D84"/>
    <w:rsid w:val="00D36E72"/>
    <w:rsid w:val="00D37137"/>
    <w:rsid w:val="00D41C4A"/>
    <w:rsid w:val="00D420FD"/>
    <w:rsid w:val="00D42992"/>
    <w:rsid w:val="00D43C78"/>
    <w:rsid w:val="00D52214"/>
    <w:rsid w:val="00D557BC"/>
    <w:rsid w:val="00D55921"/>
    <w:rsid w:val="00D6031A"/>
    <w:rsid w:val="00D6327E"/>
    <w:rsid w:val="00D63D21"/>
    <w:rsid w:val="00D66981"/>
    <w:rsid w:val="00D7038B"/>
    <w:rsid w:val="00D76FE0"/>
    <w:rsid w:val="00D87A5E"/>
    <w:rsid w:val="00D92BEE"/>
    <w:rsid w:val="00D976E8"/>
    <w:rsid w:val="00D97B7A"/>
    <w:rsid w:val="00DA0FCD"/>
    <w:rsid w:val="00DB0DA6"/>
    <w:rsid w:val="00DB11BE"/>
    <w:rsid w:val="00DB345E"/>
    <w:rsid w:val="00DB448D"/>
    <w:rsid w:val="00DB56A7"/>
    <w:rsid w:val="00DC0B89"/>
    <w:rsid w:val="00DC52E2"/>
    <w:rsid w:val="00DC5FCC"/>
    <w:rsid w:val="00DC6C4A"/>
    <w:rsid w:val="00DD13F1"/>
    <w:rsid w:val="00DD3AD7"/>
    <w:rsid w:val="00DE2266"/>
    <w:rsid w:val="00DE42F5"/>
    <w:rsid w:val="00DF045D"/>
    <w:rsid w:val="00DF43F6"/>
    <w:rsid w:val="00DF54AD"/>
    <w:rsid w:val="00DF68C7"/>
    <w:rsid w:val="00E00BB7"/>
    <w:rsid w:val="00E01595"/>
    <w:rsid w:val="00E07DEF"/>
    <w:rsid w:val="00E122CA"/>
    <w:rsid w:val="00E132BC"/>
    <w:rsid w:val="00E17203"/>
    <w:rsid w:val="00E230DC"/>
    <w:rsid w:val="00E3222C"/>
    <w:rsid w:val="00E503B0"/>
    <w:rsid w:val="00E53CA7"/>
    <w:rsid w:val="00E53E06"/>
    <w:rsid w:val="00E54D37"/>
    <w:rsid w:val="00E55778"/>
    <w:rsid w:val="00E63562"/>
    <w:rsid w:val="00E65713"/>
    <w:rsid w:val="00E675F7"/>
    <w:rsid w:val="00E70AF9"/>
    <w:rsid w:val="00E74CA4"/>
    <w:rsid w:val="00E76D91"/>
    <w:rsid w:val="00E83113"/>
    <w:rsid w:val="00E86927"/>
    <w:rsid w:val="00E94D49"/>
    <w:rsid w:val="00E97412"/>
    <w:rsid w:val="00EA3969"/>
    <w:rsid w:val="00EA427D"/>
    <w:rsid w:val="00EA6A7A"/>
    <w:rsid w:val="00EA6CCD"/>
    <w:rsid w:val="00EA7756"/>
    <w:rsid w:val="00EB2964"/>
    <w:rsid w:val="00EB4494"/>
    <w:rsid w:val="00EB7357"/>
    <w:rsid w:val="00EC2792"/>
    <w:rsid w:val="00EC33BD"/>
    <w:rsid w:val="00EC623E"/>
    <w:rsid w:val="00EF531A"/>
    <w:rsid w:val="00EF7648"/>
    <w:rsid w:val="00F05261"/>
    <w:rsid w:val="00F05A82"/>
    <w:rsid w:val="00F119FB"/>
    <w:rsid w:val="00F129C0"/>
    <w:rsid w:val="00F12B3E"/>
    <w:rsid w:val="00F1582F"/>
    <w:rsid w:val="00F20323"/>
    <w:rsid w:val="00F2078E"/>
    <w:rsid w:val="00F25FC2"/>
    <w:rsid w:val="00F50781"/>
    <w:rsid w:val="00F52493"/>
    <w:rsid w:val="00F53960"/>
    <w:rsid w:val="00F54445"/>
    <w:rsid w:val="00F54B98"/>
    <w:rsid w:val="00F61868"/>
    <w:rsid w:val="00F64139"/>
    <w:rsid w:val="00F65562"/>
    <w:rsid w:val="00F655D4"/>
    <w:rsid w:val="00F65DF6"/>
    <w:rsid w:val="00F66C2E"/>
    <w:rsid w:val="00F66D3E"/>
    <w:rsid w:val="00F86A94"/>
    <w:rsid w:val="00F9403B"/>
    <w:rsid w:val="00F963D9"/>
    <w:rsid w:val="00FB1E0A"/>
    <w:rsid w:val="00FB48AA"/>
    <w:rsid w:val="00FB552F"/>
    <w:rsid w:val="00FC13A5"/>
    <w:rsid w:val="00FC2804"/>
    <w:rsid w:val="00FC2E94"/>
    <w:rsid w:val="00FD71CB"/>
    <w:rsid w:val="00FD72EF"/>
    <w:rsid w:val="00FD7FBA"/>
    <w:rsid w:val="00FE361F"/>
    <w:rsid w:val="00FE42AA"/>
    <w:rsid w:val="00FF1DBD"/>
    <w:rsid w:val="00FF38C1"/>
    <w:rsid w:val="00FF4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3FCE8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tabs>
        <w:tab w:val="left" w:pos="2160"/>
      </w:tabs>
      <w:spacing w:before="240" w:line="240" w:lineRule="exact"/>
      <w:jc w:val="center"/>
      <w:outlineLvl w:val="0"/>
    </w:pPr>
    <w:rPr>
      <w:rFonts w:ascii="Times" w:hAnsi="Times"/>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
    <w:name w:val="Body Text"/>
    <w:basedOn w:val="Normal"/>
    <w:pPr>
      <w:tabs>
        <w:tab w:val="left" w:pos="2160"/>
      </w:tabs>
      <w:spacing w:before="240" w:line="240" w:lineRule="exact"/>
      <w:jc w:val="both"/>
    </w:pPr>
    <w:rPr>
      <w:rFonts w:ascii="Times" w:hAnsi="Times"/>
      <w:sz w:val="24"/>
    </w:rPr>
  </w:style>
  <w:style w:type="paragraph" w:styleId="Footer">
    <w:name w:val="footer"/>
    <w:basedOn w:val="Normal"/>
    <w:rsid w:val="003D5F20"/>
    <w:pPr>
      <w:tabs>
        <w:tab w:val="center" w:pos="4320"/>
        <w:tab w:val="right" w:pos="8640"/>
      </w:tabs>
    </w:pPr>
  </w:style>
  <w:style w:type="paragraph" w:styleId="BodyText2">
    <w:name w:val="Body Text 2"/>
    <w:basedOn w:val="Normal"/>
    <w:rsid w:val="00DB11BE"/>
    <w:pPr>
      <w:spacing w:after="120" w:line="480" w:lineRule="auto"/>
    </w:pPr>
  </w:style>
  <w:style w:type="table" w:styleId="TableGrid">
    <w:name w:val="Table Grid"/>
    <w:basedOn w:val="TableNormal"/>
    <w:rsid w:val="00E17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E2EFB"/>
    <w:rPr>
      <w:rFonts w:ascii="Segoe UI" w:hAnsi="Segoe UI" w:cs="Segoe UI"/>
      <w:sz w:val="18"/>
      <w:szCs w:val="18"/>
    </w:rPr>
  </w:style>
  <w:style w:type="character" w:customStyle="1" w:styleId="BalloonTextChar">
    <w:name w:val="Balloon Text Char"/>
    <w:link w:val="BalloonText"/>
    <w:rsid w:val="003E2EFB"/>
    <w:rPr>
      <w:rFonts w:ascii="Segoe UI" w:hAnsi="Segoe UI" w:cs="Segoe UI"/>
      <w:sz w:val="18"/>
      <w:szCs w:val="18"/>
    </w:rPr>
  </w:style>
  <w:style w:type="character" w:customStyle="1" w:styleId="FootnoteTextChar">
    <w:name w:val="Footnote Text Char"/>
    <w:link w:val="FootnoteText"/>
    <w:semiHidden/>
    <w:rsid w:val="00AA5F28"/>
  </w:style>
  <w:style w:type="character" w:customStyle="1" w:styleId="HeaderChar">
    <w:name w:val="Header Char"/>
    <w:link w:val="Header"/>
    <w:uiPriority w:val="99"/>
    <w:rsid w:val="00510F9B"/>
  </w:style>
  <w:style w:type="character" w:styleId="CommentReference">
    <w:name w:val="annotation reference"/>
    <w:rsid w:val="00594852"/>
    <w:rPr>
      <w:sz w:val="16"/>
      <w:szCs w:val="16"/>
    </w:rPr>
  </w:style>
  <w:style w:type="paragraph" w:styleId="CommentText">
    <w:name w:val="annotation text"/>
    <w:basedOn w:val="Normal"/>
    <w:link w:val="CommentTextChar"/>
    <w:rsid w:val="00594852"/>
  </w:style>
  <w:style w:type="character" w:customStyle="1" w:styleId="CommentTextChar">
    <w:name w:val="Comment Text Char"/>
    <w:basedOn w:val="DefaultParagraphFont"/>
    <w:link w:val="CommentText"/>
    <w:rsid w:val="00594852"/>
  </w:style>
  <w:style w:type="paragraph" w:styleId="CommentSubject">
    <w:name w:val="annotation subject"/>
    <w:basedOn w:val="CommentText"/>
    <w:next w:val="CommentText"/>
    <w:link w:val="CommentSubjectChar"/>
    <w:rsid w:val="00594852"/>
    <w:rPr>
      <w:b/>
      <w:bCs/>
    </w:rPr>
  </w:style>
  <w:style w:type="character" w:customStyle="1" w:styleId="CommentSubjectChar">
    <w:name w:val="Comment Subject Char"/>
    <w:link w:val="CommentSubject"/>
    <w:rsid w:val="00594852"/>
    <w:rPr>
      <w:b/>
      <w:bCs/>
    </w:rPr>
  </w:style>
  <w:style w:type="paragraph" w:styleId="Revision">
    <w:name w:val="Revision"/>
    <w:hidden/>
    <w:uiPriority w:val="99"/>
    <w:semiHidden/>
    <w:rsid w:val="007479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132379">
      <w:bodyDiv w:val="1"/>
      <w:marLeft w:val="0"/>
      <w:marRight w:val="0"/>
      <w:marTop w:val="0"/>
      <w:marBottom w:val="0"/>
      <w:divBdr>
        <w:top w:val="none" w:sz="0" w:space="0" w:color="auto"/>
        <w:left w:val="none" w:sz="0" w:space="0" w:color="auto"/>
        <w:bottom w:val="none" w:sz="0" w:space="0" w:color="auto"/>
        <w:right w:val="none" w:sz="0" w:space="0" w:color="auto"/>
      </w:divBdr>
    </w:div>
    <w:div w:id="810828050">
      <w:bodyDiv w:val="1"/>
      <w:marLeft w:val="0"/>
      <w:marRight w:val="0"/>
      <w:marTop w:val="0"/>
      <w:marBottom w:val="0"/>
      <w:divBdr>
        <w:top w:val="none" w:sz="0" w:space="0" w:color="auto"/>
        <w:left w:val="none" w:sz="0" w:space="0" w:color="auto"/>
        <w:bottom w:val="none" w:sz="0" w:space="0" w:color="auto"/>
        <w:right w:val="none" w:sz="0" w:space="0" w:color="auto"/>
      </w:divBdr>
    </w:div>
    <w:div w:id="126380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6AB11-8942-4E7E-ABF2-21CA7A44C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1576</Words>
  <Characters>8647</Characters>
  <Application>Microsoft Office Word</Application>
  <DocSecurity>4</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2023-03-08T19:22:00Z</dcterms:created>
  <dcterms:modified xsi:type="dcterms:W3CDTF">2023-03-08T19:22:00Z</dcterms:modified>
  <cp:contentStatus/>
</cp:coreProperties>
</file>